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eastAsia="黑体"/>
          <w:sz w:val="32"/>
          <w:szCs w:val="32"/>
        </w:rPr>
      </w:pPr>
    </w:p>
    <w:p>
      <w:pPr>
        <w:jc w:val="center"/>
        <w:rPr>
          <w:rFonts w:ascii="方正小标宋简体" w:hAnsi="方正小标宋简体" w:eastAsia="方正小标宋简体" w:cs="方正小标宋简体"/>
          <w:b/>
          <w:bCs/>
          <w:sz w:val="48"/>
          <w:szCs w:val="48"/>
        </w:rPr>
      </w:pPr>
      <w:r>
        <w:rPr>
          <w:rFonts w:hint="eastAsia" w:ascii="方正小标宋简体" w:hAnsi="方正小标宋简体" w:eastAsia="方正小标宋简体" w:cs="方正小标宋简体"/>
          <w:b/>
          <w:bCs/>
          <w:sz w:val="48"/>
          <w:szCs w:val="48"/>
        </w:rPr>
        <w:t xml:space="preserve"> </w:t>
      </w:r>
      <w:bookmarkStart w:id="0" w:name="_Hlk75068021"/>
      <w:r>
        <w:rPr>
          <w:rFonts w:hint="eastAsia" w:ascii="微软雅黑" w:hAnsi="微软雅黑" w:eastAsia="微软雅黑" w:cs="仿宋_GB2312"/>
          <w:b/>
          <w:bCs/>
          <w:kern w:val="44"/>
          <w:sz w:val="44"/>
          <w:szCs w:val="44"/>
        </w:rPr>
        <w:t xml:space="preserve">湘西自治州发展和改革委员会 </w:t>
      </w:r>
    </w:p>
    <w:bookmarkEnd w:id="0"/>
    <w:p>
      <w:pPr>
        <w:jc w:val="center"/>
        <w:rPr>
          <w:rFonts w:ascii="方正小标宋简体" w:hAnsi="方正小标宋简体" w:eastAsia="方正小标宋简体" w:cs="方正小标宋简体"/>
          <w:b/>
          <w:bCs/>
          <w:sz w:val="48"/>
          <w:szCs w:val="48"/>
        </w:rPr>
      </w:pPr>
      <w:r>
        <w:rPr>
          <w:rFonts w:hint="eastAsia" w:ascii="微软雅黑" w:hAnsi="微软雅黑" w:eastAsia="微软雅黑" w:cs="仿宋_GB2312"/>
          <w:b/>
          <w:bCs/>
          <w:kern w:val="44"/>
          <w:sz w:val="44"/>
          <w:szCs w:val="44"/>
        </w:rPr>
        <w:t>2020年度部门整体支出绩效自评报告</w:t>
      </w: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rPr>
          <w:rFonts w:eastAsia="黑体"/>
          <w:sz w:val="44"/>
          <w:szCs w:val="44"/>
        </w:rPr>
      </w:pPr>
    </w:p>
    <w:p>
      <w:pPr>
        <w:spacing w:line="600" w:lineRule="exact"/>
        <w:ind w:firstLine="880" w:firstLineChars="200"/>
        <w:jc w:val="center"/>
        <w:rPr>
          <w:rFonts w:eastAsia="黑体"/>
          <w:sz w:val="44"/>
          <w:szCs w:val="44"/>
        </w:rPr>
      </w:pPr>
    </w:p>
    <w:p>
      <w:pPr>
        <w:spacing w:line="600" w:lineRule="exact"/>
        <w:ind w:left="0" w:leftChars="0" w:firstLine="838" w:firstLineChars="233"/>
        <w:rPr>
          <w:rFonts w:eastAsia="黑体"/>
          <w:sz w:val="36"/>
          <w:szCs w:val="36"/>
        </w:rPr>
      </w:pPr>
      <w:r>
        <w:rPr>
          <w:rFonts w:hint="eastAsia" w:eastAsia="黑体"/>
          <w:sz w:val="36"/>
          <w:szCs w:val="36"/>
        </w:rPr>
        <w:t>部门（</w:t>
      </w:r>
      <w:r>
        <w:rPr>
          <w:rFonts w:eastAsia="黑体"/>
          <w:sz w:val="36"/>
          <w:szCs w:val="36"/>
        </w:rPr>
        <w:t>单位</w:t>
      </w:r>
      <w:r>
        <w:rPr>
          <w:rFonts w:hint="eastAsia" w:eastAsia="黑体"/>
          <w:sz w:val="36"/>
          <w:szCs w:val="36"/>
        </w:rPr>
        <w:t>）</w:t>
      </w:r>
      <w:r>
        <w:rPr>
          <w:rFonts w:eastAsia="黑体"/>
          <w:sz w:val="36"/>
          <w:szCs w:val="36"/>
        </w:rPr>
        <w:t>名称（盖章）：</w:t>
      </w:r>
    </w:p>
    <w:p>
      <w:pPr>
        <w:spacing w:line="600" w:lineRule="exact"/>
        <w:ind w:left="0" w:leftChars="0" w:firstLine="838" w:firstLineChars="233"/>
        <w:rPr>
          <w:rFonts w:eastAsia="黑体"/>
          <w:sz w:val="36"/>
          <w:szCs w:val="36"/>
        </w:rPr>
      </w:pPr>
      <w:r>
        <w:rPr>
          <w:rFonts w:hint="eastAsia" w:eastAsia="黑体"/>
          <w:sz w:val="36"/>
          <w:szCs w:val="36"/>
        </w:rPr>
        <w:t>预算编码：</w:t>
      </w:r>
      <w:r>
        <w:rPr>
          <w:rFonts w:hint="eastAsia" w:ascii="宋体" w:hAnsi="宋体" w:cs="宋体"/>
          <w:sz w:val="32"/>
          <w:szCs w:val="32"/>
          <w:u w:val="single"/>
        </w:rPr>
        <w:t>303001</w:t>
      </w:r>
    </w:p>
    <w:p>
      <w:pPr>
        <w:spacing w:line="600" w:lineRule="exact"/>
        <w:ind w:left="0" w:leftChars="0" w:firstLine="1897" w:firstLineChars="527"/>
        <w:jc w:val="center"/>
        <w:rPr>
          <w:rFonts w:eastAsia="黑体"/>
          <w:sz w:val="36"/>
          <w:szCs w:val="36"/>
        </w:rPr>
      </w:pPr>
    </w:p>
    <w:p>
      <w:pPr>
        <w:spacing w:line="600" w:lineRule="exact"/>
        <w:ind w:left="0" w:leftChars="0" w:firstLine="838" w:firstLineChars="262"/>
        <w:jc w:val="both"/>
        <w:rPr>
          <w:rFonts w:eastAsia="仿宋_GB2312"/>
          <w:sz w:val="32"/>
          <w:szCs w:val="32"/>
        </w:rPr>
      </w:pPr>
      <w:r>
        <w:rPr>
          <w:rFonts w:hint="eastAsia" w:eastAsia="仿宋_GB2312"/>
          <w:sz w:val="32"/>
          <w:szCs w:val="32"/>
        </w:rPr>
        <w:t>评价方式：单位绩效自评</w:t>
      </w:r>
    </w:p>
    <w:p>
      <w:pPr>
        <w:spacing w:line="600" w:lineRule="exact"/>
        <w:ind w:left="0" w:leftChars="0" w:firstLine="838" w:firstLineChars="262"/>
        <w:jc w:val="both"/>
        <w:rPr>
          <w:rFonts w:eastAsia="仿宋_GB2312" w:cs="Arial"/>
          <w:sz w:val="28"/>
          <w:szCs w:val="28"/>
        </w:rPr>
      </w:pPr>
      <w:r>
        <w:rPr>
          <w:rFonts w:hint="eastAsia" w:eastAsia="仿宋_GB2312"/>
          <w:sz w:val="32"/>
          <w:szCs w:val="32"/>
        </w:rPr>
        <w:t>评价机构：单位评价组</w:t>
      </w:r>
    </w:p>
    <w:p>
      <w:pPr>
        <w:ind w:firstLine="420" w:firstLineChars="150"/>
        <w:jc w:val="left"/>
        <w:rPr>
          <w:rFonts w:eastAsia="仿宋_GB2312" w:cs="Arial"/>
          <w:sz w:val="28"/>
          <w:szCs w:val="28"/>
        </w:rPr>
      </w:pPr>
    </w:p>
    <w:p>
      <w:pPr>
        <w:jc w:val="center"/>
        <w:rPr>
          <w:rFonts w:eastAsia="仿宋_GB2312" w:cs="Arial"/>
          <w:sz w:val="28"/>
          <w:szCs w:val="28"/>
        </w:rPr>
      </w:pPr>
    </w:p>
    <w:p>
      <w:pPr>
        <w:jc w:val="center"/>
        <w:rPr>
          <w:rFonts w:eastAsia="仿宋_GB2312" w:cs="Arial"/>
          <w:sz w:val="28"/>
          <w:szCs w:val="28"/>
        </w:rPr>
      </w:pPr>
    </w:p>
    <w:p>
      <w:pPr>
        <w:rPr>
          <w:rFonts w:eastAsia="仿宋_GB2312" w:cs="Arial"/>
          <w:sz w:val="28"/>
          <w:szCs w:val="28"/>
        </w:rPr>
      </w:pPr>
    </w:p>
    <w:p>
      <w:pPr>
        <w:jc w:val="center"/>
        <w:rPr>
          <w:rFonts w:eastAsia="仿宋_GB2312" w:cs="Arial"/>
          <w:sz w:val="28"/>
          <w:szCs w:val="28"/>
        </w:rPr>
      </w:pPr>
    </w:p>
    <w:p>
      <w:pPr>
        <w:ind w:firstLine="1960" w:firstLineChars="700"/>
        <w:rPr>
          <w:rFonts w:ascii="仿宋_GB2312" w:hAnsi="仿宋_GB2312" w:eastAsia="仿宋_GB2312" w:cs="仿宋_GB2312"/>
          <w:sz w:val="28"/>
          <w:szCs w:val="28"/>
        </w:rPr>
      </w:pPr>
      <w:r>
        <w:rPr>
          <w:rFonts w:hint="eastAsia" w:ascii="仿宋_GB2312" w:hAnsi="仿宋_GB2312" w:eastAsia="仿宋_GB2312" w:cs="仿宋_GB2312"/>
          <w:sz w:val="28"/>
          <w:szCs w:val="28"/>
        </w:rPr>
        <w:t>报告时间：</w:t>
      </w:r>
      <w:r>
        <w:rPr>
          <w:rFonts w:hint="eastAsia" w:ascii="仿宋_GB2312" w:hAnsi="仿宋_GB2312" w:eastAsia="仿宋_GB2312" w:cs="仿宋_GB2312"/>
          <w:sz w:val="28"/>
          <w:szCs w:val="28"/>
          <w:u w:val="single"/>
        </w:rPr>
        <w:t xml:space="preserve">   2021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6</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p>
    <w:p>
      <w:pPr>
        <w:spacing w:line="540" w:lineRule="exact"/>
        <w:jc w:val="left"/>
        <w:rPr>
          <w:rFonts w:eastAsia="黑体" w:cs="Arial"/>
          <w:sz w:val="32"/>
          <w:szCs w:val="32"/>
          <w:shd w:val="clear" w:color="auto" w:fill="FFFFFF"/>
        </w:rPr>
      </w:pPr>
    </w:p>
    <w:p>
      <w:pPr>
        <w:spacing w:line="540" w:lineRule="exact"/>
        <w:jc w:val="left"/>
        <w:rPr>
          <w:rFonts w:eastAsia="黑体" w:cs="Arial"/>
          <w:sz w:val="32"/>
          <w:szCs w:val="32"/>
          <w:shd w:val="clear" w:color="auto" w:fill="FFFFFF"/>
        </w:rPr>
      </w:pPr>
    </w:p>
    <w:p>
      <w:pPr>
        <w:spacing w:line="540" w:lineRule="exact"/>
        <w:jc w:val="left"/>
        <w:rPr>
          <w:rFonts w:eastAsia="黑体" w:cs="Arial"/>
          <w:sz w:val="32"/>
          <w:szCs w:val="32"/>
          <w:shd w:val="clear" w:color="auto" w:fill="FFFFFF"/>
        </w:rPr>
      </w:pPr>
    </w:p>
    <w:tbl>
      <w:tblPr>
        <w:tblStyle w:val="8"/>
        <w:tblW w:w="99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
      <w:tblGrid>
        <w:gridCol w:w="1188"/>
        <w:gridCol w:w="252"/>
        <w:gridCol w:w="258"/>
        <w:gridCol w:w="1419"/>
        <w:gridCol w:w="202"/>
        <w:gridCol w:w="593"/>
        <w:gridCol w:w="541"/>
        <w:gridCol w:w="1212"/>
        <w:gridCol w:w="1500"/>
        <w:gridCol w:w="75"/>
        <w:gridCol w:w="696"/>
        <w:gridCol w:w="189"/>
        <w:gridCol w:w="915"/>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9941" w:type="dxa"/>
            <w:gridSpan w:val="14"/>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b/>
                <w:bCs/>
                <w:szCs w:val="21"/>
              </w:rPr>
              <w:t>一、部门（单位）基本概况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188"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联系人</w:t>
            </w:r>
          </w:p>
        </w:tc>
        <w:tc>
          <w:tcPr>
            <w:tcW w:w="4477" w:type="dxa"/>
            <w:gridSpan w:val="7"/>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kern w:val="0"/>
                <w:szCs w:val="21"/>
              </w:rPr>
              <w:t>刘 龙</w:t>
            </w:r>
          </w:p>
        </w:tc>
        <w:tc>
          <w:tcPr>
            <w:tcW w:w="1500"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联系电话</w:t>
            </w:r>
          </w:p>
        </w:tc>
        <w:tc>
          <w:tcPr>
            <w:tcW w:w="2776" w:type="dxa"/>
            <w:gridSpan w:val="5"/>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kern w:val="0"/>
                <w:szCs w:val="21"/>
              </w:rPr>
              <w:t>18074345378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188"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人员编制</w:t>
            </w:r>
          </w:p>
        </w:tc>
        <w:tc>
          <w:tcPr>
            <w:tcW w:w="4477" w:type="dxa"/>
            <w:gridSpan w:val="7"/>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1</w:t>
            </w:r>
            <w:r>
              <w:rPr>
                <w:rFonts w:ascii="仿宋" w:hAnsi="仿宋" w:eastAsia="仿宋" w:cs="仿宋"/>
                <w:szCs w:val="21"/>
              </w:rPr>
              <w:t>06</w:t>
            </w:r>
          </w:p>
        </w:tc>
        <w:tc>
          <w:tcPr>
            <w:tcW w:w="1500"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实有人数</w:t>
            </w:r>
          </w:p>
        </w:tc>
        <w:tc>
          <w:tcPr>
            <w:tcW w:w="2776" w:type="dxa"/>
            <w:gridSpan w:val="5"/>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20" w:hRule="atLeast"/>
          <w:jc w:val="center"/>
        </w:trPr>
        <w:tc>
          <w:tcPr>
            <w:tcW w:w="1188" w:type="dxa"/>
            <w:vAlign w:val="center"/>
          </w:tcPr>
          <w:p>
            <w:pPr>
              <w:numPr>
                <w:ilvl w:val="0"/>
                <w:numId w:val="1"/>
              </w:numPr>
              <w:autoSpaceDN w:val="0"/>
              <w:spacing w:line="320" w:lineRule="exact"/>
              <w:ind w:firstLine="420" w:firstLineChars="200"/>
              <w:jc w:val="left"/>
              <w:textAlignment w:val="center"/>
              <w:rPr>
                <w:rFonts w:ascii="仿宋" w:hAnsi="仿宋" w:eastAsia="仿宋" w:cs="仿宋"/>
                <w:szCs w:val="21"/>
              </w:rPr>
            </w:pPr>
            <w:r>
              <w:rPr>
                <w:rFonts w:hint="eastAsia" w:ascii="仿宋" w:hAnsi="仿宋" w:eastAsia="仿宋" w:cs="仿宋"/>
                <w:szCs w:val="21"/>
              </w:rPr>
              <w:t>职能职责概述</w:t>
            </w:r>
          </w:p>
        </w:tc>
        <w:tc>
          <w:tcPr>
            <w:tcW w:w="8753" w:type="dxa"/>
            <w:gridSpan w:val="13"/>
            <w:vAlign w:val="center"/>
          </w:tcPr>
          <w:p>
            <w:pPr>
              <w:autoSpaceDN w:val="0"/>
              <w:spacing w:line="320" w:lineRule="exact"/>
              <w:jc w:val="left"/>
              <w:textAlignment w:val="center"/>
              <w:rPr>
                <w:rFonts w:ascii="仿宋" w:hAnsi="仿宋" w:eastAsia="仿宋" w:cs="仿宋"/>
                <w:szCs w:val="21"/>
              </w:rPr>
            </w:pPr>
            <w:bookmarkStart w:id="1" w:name="_Hlk43663714"/>
          </w:p>
          <w:p>
            <w:pPr>
              <w:autoSpaceDN w:val="0"/>
              <w:spacing w:line="320" w:lineRule="exact"/>
              <w:ind w:firstLine="420" w:firstLineChars="200"/>
              <w:jc w:val="left"/>
              <w:textAlignment w:val="center"/>
              <w:rPr>
                <w:rFonts w:ascii="仿宋" w:hAnsi="仿宋" w:eastAsia="仿宋" w:cs="仿宋"/>
                <w:szCs w:val="21"/>
              </w:rPr>
            </w:pPr>
            <w:r>
              <w:rPr>
                <w:rFonts w:hint="eastAsia" w:ascii="仿宋" w:hAnsi="仿宋" w:eastAsia="仿宋" w:cs="仿宋"/>
                <w:szCs w:val="21"/>
              </w:rPr>
              <w:t>湘西自治州发展与改革委员会为州人民政府工作部门。单位住所吉首市人民北路58号。统一信用代码证号为11433100006686146P。</w:t>
            </w:r>
            <w:bookmarkEnd w:id="1"/>
            <w:r>
              <w:rPr>
                <w:rFonts w:hint="eastAsia" w:ascii="仿宋" w:hAnsi="仿宋" w:eastAsia="仿宋" w:cs="仿宋"/>
                <w:szCs w:val="21"/>
              </w:rPr>
              <w:t>本单位的主要职责是：</w:t>
            </w:r>
          </w:p>
          <w:p>
            <w:pPr>
              <w:numPr>
                <w:ilvl w:val="0"/>
                <w:numId w:val="2"/>
              </w:numPr>
              <w:autoSpaceDN w:val="0"/>
              <w:spacing w:line="320" w:lineRule="exact"/>
              <w:ind w:left="0" w:leftChars="0" w:firstLine="218" w:firstLineChars="104"/>
              <w:jc w:val="left"/>
              <w:textAlignment w:val="center"/>
              <w:rPr>
                <w:rFonts w:ascii="仿宋" w:hAnsi="仿宋" w:eastAsia="仿宋" w:cs="仿宋"/>
                <w:szCs w:val="21"/>
              </w:rPr>
            </w:pPr>
            <w:r>
              <w:rPr>
                <w:rFonts w:hint="eastAsia" w:ascii="仿宋" w:hAnsi="仿宋" w:eastAsia="仿宋" w:cs="仿宋"/>
                <w:szCs w:val="21"/>
              </w:rPr>
              <w:t>拟订并组织实施全州国民经济和社会发展战略、中长期规划和年度计划；</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提出加快建设现代化经济体系、推动高质量发展的总体目标、重大任务以及相关政策；</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统筹提出全州国民经济社会发展主要目标、监测预测预警宏观经济和社会发展态势趋势，提出宏观调控政策建议；</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指导推进和综合协调全州经济体制改革，提出相关改革建议；牵头推进供给侧结构性改革；</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提出全州利用外资和境外投资的战略、规划、总量平衡和结构优化的政策；</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负责投资综合管理，拟订全州固定自查投资总规模、结构调控目标、政策及措施，会同相关部门拟订政府投资项目审批权限和政府核准的固定资产投资项目目录；</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推进落实区域协调发展战略和重大政策，组织拟订相关区域规划和政策；</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组织拟订综合性产业政策；</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推动实施创新驱动发展战略；</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跟踪研判涉经济安全、生态安全、资源安全、科技安全、社会安全等各类风险隐患，提出相关工作建议。</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负责社会发展与国民经济发展的政策衔接，协调有关重大问题。</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推进实施科持续发展战略，推动生态环境保护与修复、能源资源节约和综合利用等工作；</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拟订并组织实施有关价格政策，组织制定少数由州级管理的重要商品、服务价格和重要收费标准；</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牵头推进全州优化营商环境工作；</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会同有关部门拟订推进全州经济建设与国防建设协调发展的战略和规划，协调有关重大问题；</w:t>
            </w:r>
          </w:p>
          <w:p>
            <w:pPr>
              <w:numPr>
                <w:ilvl w:val="0"/>
                <w:numId w:val="2"/>
              </w:numPr>
              <w:autoSpaceDN w:val="0"/>
              <w:spacing w:line="320" w:lineRule="exact"/>
              <w:ind w:left="0" w:leftChars="0" w:firstLine="218" w:firstLineChars="104"/>
              <w:jc w:val="left"/>
              <w:textAlignment w:val="center"/>
              <w:rPr>
                <w:rFonts w:hint="eastAsia" w:ascii="仿宋" w:hAnsi="仿宋" w:eastAsia="仿宋" w:cs="仿宋"/>
                <w:szCs w:val="21"/>
              </w:rPr>
            </w:pPr>
            <w:r>
              <w:rPr>
                <w:rFonts w:hint="eastAsia" w:ascii="仿宋" w:hAnsi="仿宋" w:eastAsia="仿宋" w:cs="仿宋"/>
                <w:szCs w:val="21"/>
              </w:rPr>
              <w:t>承担湘西地区开发、优化经济发展环境、承接产业转移示范区建设等州级议事协调机构的有关具体工作。</w:t>
            </w:r>
          </w:p>
          <w:p>
            <w:pPr>
              <w:numPr>
                <w:ilvl w:val="0"/>
                <w:numId w:val="2"/>
              </w:numPr>
              <w:autoSpaceDN w:val="0"/>
              <w:spacing w:line="320" w:lineRule="exact"/>
              <w:ind w:left="0" w:leftChars="0" w:firstLine="218" w:firstLineChars="104"/>
              <w:jc w:val="left"/>
              <w:textAlignment w:val="center"/>
              <w:rPr>
                <w:rFonts w:ascii="仿宋" w:hAnsi="仿宋" w:eastAsia="仿宋" w:cs="仿宋"/>
                <w:szCs w:val="21"/>
              </w:rPr>
            </w:pPr>
            <w:r>
              <w:rPr>
                <w:rFonts w:hint="eastAsia" w:ascii="仿宋" w:hAnsi="仿宋" w:eastAsia="仿宋" w:cs="仿宋"/>
                <w:szCs w:val="21"/>
              </w:rPr>
              <w:t>职能转变，为贯彻新发展理念，要把主要精力转到管宏观、谋全局，抓大事上来，加强跨部门、跨地区、跨行业、跨领域的重大战略规划、重大改革、重大工程的综合协调，统筹全面创新改革，提高经济发展质量和效益。进一步减少微观管理事务和具体审批事项，最大限度减少政府对市场资源的直接配置，最大限度减少政府对市场活动的直接干预，提高资源配置效率和公平性，激发各类市场主体活力。强化制定全州重大发展战略、统一规划体系的职能，完善相关规划制度，做好规划统筹，精简规划数量，提高规划质量，更好发挥重大发展战略、规划导向作用；完善宏观调控体系，创新调控方式，构建发展规划、财政、金融等政策协调和工作机制，强化经济监测预测预警能力，建立健全重大问题研究和政策储备工作机制，增强宏观调控前瞻性、针对性、协同性；深入推进简政放权，全面实施市场准入负面清单制度。深化投融资体制改革，最大限度减少项目审批、核准范围。深化价格改革，及时修订调减政府定价目录，健全反映市场供求的定价机制。尽快推进政府监管和公共信用信息共享。</w:t>
            </w:r>
          </w:p>
          <w:p>
            <w:pPr>
              <w:numPr>
                <w:ilvl w:val="0"/>
                <w:numId w:val="2"/>
              </w:numPr>
              <w:autoSpaceDN w:val="0"/>
              <w:spacing w:line="320" w:lineRule="exact"/>
              <w:ind w:left="0" w:leftChars="0" w:firstLine="199" w:firstLineChars="95"/>
              <w:jc w:val="left"/>
              <w:textAlignment w:val="center"/>
              <w:rPr>
                <w:rFonts w:ascii="仿宋" w:hAnsi="仿宋" w:eastAsia="仿宋" w:cs="仿宋"/>
                <w:szCs w:val="21"/>
              </w:rPr>
            </w:pPr>
            <w:r>
              <w:rPr>
                <w:rFonts w:hint="eastAsia" w:ascii="仿宋" w:hAnsi="仿宋" w:eastAsia="仿宋" w:cs="仿宋"/>
                <w:szCs w:val="21"/>
              </w:rPr>
              <w:t>完成州委州政府交办的其他任务。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3105" w:hRule="atLeast"/>
          <w:jc w:val="center"/>
        </w:trPr>
        <w:tc>
          <w:tcPr>
            <w:tcW w:w="1188"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年度主要</w:t>
            </w:r>
          </w:p>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工作内容</w:t>
            </w:r>
          </w:p>
        </w:tc>
        <w:tc>
          <w:tcPr>
            <w:tcW w:w="8753" w:type="dxa"/>
            <w:gridSpan w:val="13"/>
            <w:vAlign w:val="center"/>
          </w:tcPr>
          <w:p>
            <w:pPr>
              <w:numPr>
                <w:ilvl w:val="0"/>
                <w:numId w:val="0"/>
              </w:numPr>
              <w:autoSpaceDN w:val="0"/>
              <w:spacing w:line="320" w:lineRule="exact"/>
              <w:ind w:left="0" w:leftChars="0" w:firstLine="0" w:firstLineChars="0"/>
              <w:jc w:val="left"/>
              <w:textAlignment w:val="center"/>
              <w:rPr>
                <w:rFonts w:hint="eastAsia" w:ascii="仿宋" w:hAnsi="仿宋" w:eastAsia="仿宋" w:cs="仿宋"/>
                <w:szCs w:val="21"/>
              </w:rPr>
            </w:pPr>
            <w:r>
              <w:rPr>
                <w:rFonts w:hint="eastAsia" w:ascii="仿宋" w:hAnsi="仿宋" w:eastAsia="仿宋" w:cs="仿宋"/>
                <w:szCs w:val="21"/>
              </w:rPr>
              <w:t>任务1：编制全州“十四五”各项规划、出政策推动发展、抓运行保障发展</w:t>
            </w:r>
            <w:r>
              <w:rPr>
                <w:rFonts w:hint="eastAsia" w:ascii="仿宋" w:hAnsi="仿宋" w:eastAsia="仿宋" w:cs="仿宋"/>
                <w:szCs w:val="21"/>
                <w:lang w:eastAsia="zh-CN"/>
              </w:rPr>
              <w:t>，</w:t>
            </w:r>
            <w:r>
              <w:rPr>
                <w:rFonts w:hint="eastAsia" w:ascii="仿宋" w:hAnsi="仿宋" w:eastAsia="仿宋" w:cs="仿宋"/>
                <w:szCs w:val="21"/>
              </w:rPr>
              <w:t>推动经济高质量发展。</w:t>
            </w:r>
          </w:p>
          <w:p>
            <w:pPr>
              <w:numPr>
                <w:ilvl w:val="0"/>
                <w:numId w:val="0"/>
              </w:numPr>
              <w:autoSpaceDN w:val="0"/>
              <w:spacing w:line="320" w:lineRule="exact"/>
              <w:ind w:left="0" w:leftChars="0" w:firstLine="0" w:firstLineChars="0"/>
              <w:jc w:val="left"/>
              <w:textAlignment w:val="center"/>
              <w:rPr>
                <w:rFonts w:hint="eastAsia" w:ascii="仿宋" w:hAnsi="仿宋" w:eastAsia="仿宋" w:cs="仿宋"/>
                <w:szCs w:val="21"/>
              </w:rPr>
            </w:pPr>
            <w:r>
              <w:rPr>
                <w:rFonts w:hint="eastAsia" w:ascii="仿宋" w:hAnsi="仿宋" w:eastAsia="仿宋" w:cs="仿宋"/>
                <w:szCs w:val="21"/>
              </w:rPr>
              <w:t>任务2：以谋划和推进落实重点项目，促进落实“六稳”工作和“六保”任务</w:t>
            </w:r>
            <w:r>
              <w:rPr>
                <w:rFonts w:hint="eastAsia" w:ascii="仿宋" w:hAnsi="仿宋" w:eastAsia="仿宋" w:cs="仿宋"/>
                <w:szCs w:val="21"/>
                <w:lang w:eastAsia="zh-CN"/>
              </w:rPr>
              <w:t>，</w:t>
            </w:r>
            <w:r>
              <w:rPr>
                <w:rFonts w:hint="eastAsia" w:ascii="仿宋" w:hAnsi="仿宋" w:eastAsia="仿宋" w:cs="仿宋"/>
                <w:szCs w:val="21"/>
              </w:rPr>
              <w:t>融资专项发力重点项目</w:t>
            </w:r>
            <w:r>
              <w:rPr>
                <w:rFonts w:hint="eastAsia" w:ascii="仿宋" w:hAnsi="仿宋" w:eastAsia="仿宋" w:cs="仿宋"/>
                <w:szCs w:val="21"/>
                <w:lang w:eastAsia="zh-CN"/>
              </w:rPr>
              <w:t>，</w:t>
            </w:r>
            <w:r>
              <w:rPr>
                <w:rFonts w:hint="eastAsia" w:ascii="仿宋" w:hAnsi="仿宋" w:eastAsia="仿宋" w:cs="仿宋"/>
                <w:szCs w:val="21"/>
              </w:rPr>
              <w:t>落实优惠政策服务实体经济。</w:t>
            </w:r>
          </w:p>
          <w:p>
            <w:pPr>
              <w:numPr>
                <w:ilvl w:val="0"/>
                <w:numId w:val="0"/>
              </w:numPr>
              <w:autoSpaceDN w:val="0"/>
              <w:spacing w:line="320" w:lineRule="exact"/>
              <w:ind w:left="0" w:leftChars="0" w:firstLine="0" w:firstLineChars="0"/>
              <w:jc w:val="left"/>
              <w:textAlignment w:val="center"/>
              <w:rPr>
                <w:rFonts w:hint="eastAsia" w:ascii="仿宋" w:hAnsi="仿宋" w:eastAsia="仿宋" w:cs="仿宋"/>
                <w:szCs w:val="21"/>
              </w:rPr>
            </w:pPr>
            <w:r>
              <w:rPr>
                <w:rFonts w:hint="eastAsia" w:ascii="仿宋" w:hAnsi="仿宋" w:eastAsia="仿宋" w:cs="仿宋"/>
                <w:szCs w:val="21"/>
              </w:rPr>
              <w:t>任务3：全面完成易地扶贫搬迁任务，决胜脱贫攻坚</w:t>
            </w:r>
            <w:r>
              <w:rPr>
                <w:rFonts w:hint="eastAsia" w:ascii="仿宋" w:hAnsi="仿宋" w:eastAsia="仿宋" w:cs="仿宋"/>
                <w:szCs w:val="21"/>
                <w:lang w:eastAsia="zh-CN"/>
              </w:rPr>
              <w:t>；</w:t>
            </w:r>
            <w:r>
              <w:rPr>
                <w:rFonts w:hint="eastAsia" w:ascii="仿宋" w:hAnsi="仿宋" w:eastAsia="仿宋" w:cs="仿宋"/>
                <w:szCs w:val="21"/>
              </w:rPr>
              <w:t>全力打好污染防治攻坚战</w:t>
            </w:r>
            <w:r>
              <w:rPr>
                <w:rFonts w:hint="eastAsia" w:ascii="仿宋" w:hAnsi="仿宋" w:eastAsia="仿宋" w:cs="仿宋"/>
                <w:szCs w:val="21"/>
                <w:lang w:eastAsia="zh-CN"/>
              </w:rPr>
              <w:t>，</w:t>
            </w:r>
            <w:r>
              <w:rPr>
                <w:rFonts w:hint="eastAsia" w:ascii="仿宋" w:hAnsi="仿宋" w:eastAsia="仿宋" w:cs="仿宋"/>
                <w:szCs w:val="21"/>
              </w:rPr>
              <w:t>加强经济社会风险防范。</w:t>
            </w:r>
          </w:p>
          <w:p>
            <w:pPr>
              <w:numPr>
                <w:ilvl w:val="0"/>
                <w:numId w:val="0"/>
              </w:numPr>
              <w:autoSpaceDN w:val="0"/>
              <w:spacing w:line="320" w:lineRule="exact"/>
              <w:ind w:left="0" w:leftChars="0" w:firstLine="0" w:firstLineChars="0"/>
              <w:jc w:val="left"/>
              <w:textAlignment w:val="center"/>
              <w:rPr>
                <w:rFonts w:hint="eastAsia" w:ascii="仿宋" w:hAnsi="仿宋" w:eastAsia="仿宋" w:cs="仿宋"/>
                <w:szCs w:val="21"/>
              </w:rPr>
            </w:pPr>
            <w:r>
              <w:rPr>
                <w:rFonts w:hint="eastAsia" w:ascii="仿宋" w:hAnsi="仿宋" w:eastAsia="仿宋" w:cs="仿宋"/>
                <w:szCs w:val="21"/>
              </w:rPr>
              <w:t>任务4：办好民生实事，稳就业</w:t>
            </w:r>
            <w:r>
              <w:rPr>
                <w:rFonts w:hint="eastAsia" w:ascii="仿宋" w:hAnsi="仿宋" w:eastAsia="仿宋" w:cs="仿宋"/>
                <w:szCs w:val="21"/>
                <w:lang w:eastAsia="zh-CN"/>
              </w:rPr>
              <w:t>，</w:t>
            </w:r>
            <w:r>
              <w:rPr>
                <w:rFonts w:hint="eastAsia" w:ascii="仿宋" w:hAnsi="仿宋" w:eastAsia="仿宋" w:cs="仿宋"/>
                <w:szCs w:val="21"/>
              </w:rPr>
              <w:t>加强价格监测。</w:t>
            </w:r>
          </w:p>
          <w:p>
            <w:pPr>
              <w:numPr>
                <w:ilvl w:val="0"/>
                <w:numId w:val="0"/>
              </w:numPr>
              <w:autoSpaceDN w:val="0"/>
              <w:spacing w:line="320" w:lineRule="exact"/>
              <w:ind w:left="0" w:leftChars="0" w:firstLine="0" w:firstLineChars="0"/>
              <w:jc w:val="left"/>
              <w:textAlignment w:val="center"/>
              <w:rPr>
                <w:rFonts w:hint="eastAsia" w:ascii="仿宋" w:hAnsi="仿宋" w:eastAsia="仿宋" w:cs="仿宋"/>
                <w:szCs w:val="21"/>
              </w:rPr>
            </w:pPr>
            <w:r>
              <w:rPr>
                <w:rFonts w:hint="eastAsia" w:ascii="仿宋" w:hAnsi="仿宋" w:eastAsia="仿宋" w:cs="仿宋"/>
                <w:szCs w:val="21"/>
              </w:rPr>
              <w:t>任务5：统筹推进经济体制和社会事业领域改革，推进营商环境优化，改善信用环境。</w:t>
            </w:r>
          </w:p>
          <w:p>
            <w:pPr>
              <w:numPr>
                <w:ilvl w:val="0"/>
                <w:numId w:val="0"/>
              </w:numPr>
              <w:autoSpaceDN w:val="0"/>
              <w:spacing w:line="320" w:lineRule="exact"/>
              <w:ind w:left="0" w:leftChars="0" w:firstLine="0" w:firstLineChars="0"/>
              <w:jc w:val="left"/>
              <w:textAlignment w:val="center"/>
              <w:rPr>
                <w:rFonts w:ascii="仿宋" w:hAnsi="仿宋" w:eastAsia="仿宋" w:cs="仿宋"/>
                <w:bCs/>
                <w:szCs w:val="21"/>
              </w:rPr>
            </w:pPr>
            <w:r>
              <w:rPr>
                <w:rFonts w:hint="eastAsia" w:ascii="仿宋" w:hAnsi="仿宋" w:eastAsia="仿宋" w:cs="仿宋"/>
                <w:szCs w:val="21"/>
              </w:rPr>
              <w:t>任务6：严格执行“三会一课”</w:t>
            </w:r>
            <w:r>
              <w:rPr>
                <w:rFonts w:hint="eastAsia" w:ascii="仿宋" w:hAnsi="仿宋" w:eastAsia="仿宋" w:cs="仿宋"/>
                <w:szCs w:val="21"/>
                <w:lang w:eastAsia="zh-CN"/>
              </w:rPr>
              <w:t>，</w:t>
            </w:r>
            <w:r>
              <w:rPr>
                <w:rFonts w:hint="eastAsia" w:ascii="仿宋" w:hAnsi="仿宋" w:eastAsia="仿宋" w:cs="仿宋"/>
                <w:szCs w:val="21"/>
              </w:rPr>
              <w:t>按照新的“三定”选齐配好干部队伍，关键岗位轮岗交流，提升干部队伍的凝聚力战斗力。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565" w:hRule="atLeast"/>
          <w:jc w:val="center"/>
        </w:trPr>
        <w:tc>
          <w:tcPr>
            <w:tcW w:w="1188"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年度部门（单位）总体运行情况及取得的成绩</w:t>
            </w:r>
          </w:p>
        </w:tc>
        <w:tc>
          <w:tcPr>
            <w:tcW w:w="8753" w:type="dxa"/>
            <w:gridSpan w:val="13"/>
            <w:vAlign w:val="center"/>
          </w:tcPr>
          <w:p>
            <w:pPr>
              <w:ind w:firstLine="420" w:firstLineChars="200"/>
              <w:rPr>
                <w:rFonts w:ascii="仿宋" w:hAnsi="仿宋" w:eastAsia="仿宋" w:cs="仿宋"/>
                <w:bCs/>
                <w:szCs w:val="21"/>
              </w:rPr>
            </w:pPr>
            <w:r>
              <w:rPr>
                <w:rFonts w:hint="eastAsia" w:ascii="仿宋" w:hAnsi="仿宋" w:eastAsia="仿宋" w:cs="仿宋"/>
                <w:szCs w:val="21"/>
              </w:rPr>
              <w:t>1、密切关注宏观经济形势和宏观调控政策，对全州经济运行情况实行按月调度、按季会商，及时形成经济运行情况报告向州汇报，加强疫情期间物资保障，积极争取省发改委调配紧缺原材料熔喷布，积极支持企业申报口罩扩能资金及抗疫国债。强化能源保障，成功应对电力、天然气迎峰度夏过冬考验。做好重要民生商品应急价格监测和市场巡查；代拟出台《湘西州“十四五”重点专项规划编制指导目录》，编制完成《湘西州国民经济和社会发展第十四个五年规划和二〇三五年远景目标纲要（草案）》、《湘西自治州承接产业转移示范区发展规划》《湘西自治州省级产业园区布局优化专项规划》《湘西州“十四五”电力能源发展规划》《湘西州地热资源开发利用规划》、《关于进一步加强项目建设促进稳投资的意见》（州政发〔2020〕19号）、《湘西自</w:t>
            </w:r>
            <w:r>
              <w:rPr>
                <w:rFonts w:hint="eastAsia" w:ascii="仿宋" w:hAnsi="仿宋" w:eastAsia="仿宋" w:cs="仿宋"/>
                <w:bCs/>
                <w:szCs w:val="21"/>
              </w:rPr>
              <w:t>治州强化易地扶贫搬迁后续扶持工作十条措施（试行）》（州政发〔2020〕21号）、《全州产业园 区评估工作实施方案》（州政办发〔2020〕14号）、《推进全州园区高质量发展考核暂行办法》（州政办函〔2020〕19号）等</w:t>
            </w:r>
            <w:r>
              <w:rPr>
                <w:rFonts w:ascii="仿宋" w:hAnsi="仿宋" w:eastAsia="仿宋" w:cs="仿宋"/>
                <w:bCs/>
                <w:szCs w:val="21"/>
              </w:rPr>
              <w:t>“十四五”各项</w:t>
            </w:r>
            <w:r>
              <w:rPr>
                <w:rFonts w:hint="eastAsia" w:ascii="仿宋" w:hAnsi="仿宋" w:eastAsia="仿宋" w:cs="仿宋"/>
                <w:bCs/>
                <w:szCs w:val="21"/>
              </w:rPr>
              <w:t>文件。多方发力推动经济高质量发展。</w:t>
            </w:r>
          </w:p>
          <w:p>
            <w:pPr>
              <w:ind w:firstLine="420" w:firstLineChars="200"/>
              <w:rPr>
                <w:rFonts w:ascii="仿宋" w:hAnsi="仿宋" w:eastAsia="仿宋" w:cs="仿宋"/>
                <w:bCs/>
                <w:szCs w:val="21"/>
              </w:rPr>
            </w:pPr>
            <w:r>
              <w:rPr>
                <w:rFonts w:hint="eastAsia" w:ascii="仿宋" w:hAnsi="仿宋" w:eastAsia="仿宋" w:cs="仿宋"/>
                <w:bCs/>
                <w:szCs w:val="21"/>
              </w:rPr>
              <w:t>2、坚持疫情防控和项目建设“两手抓、两手硬、两不误”，推进项目开工复工成立工作专班，实行班子成员联县市制度，全州建立“一日一调度、一日一协调、一日一反馈”的工作机制，开展全州重点项目集中开工活动3次。全年固定资产投资增长6.1%，297个省州重点建设项目完成投资627.2亿元，。张吉怀高铁铺轨建设全面开始、湘西机场跑道土石方工程全面完成、龙桑高速开工建设、“龙山-花垣”段天然气长输管网实现通气点火。3个省重大产业项目完成投资26.7亿元，为计划的136.9%。130个州重点产业项目完成投资217.7亿元，为年度计划任务的103.8%。与国开行、中国银行、建设银行、交通银行、工商银行等金融机构开展战略合作，46个企业项目与银行机构签订贷款意向书，签约授信额度125亿元。部署基础设施不动产投资信托基金（REITs）试点工作，支持项目7个，总投资达50亿元。20个项目拟争取2亿美元的亚行贷款项目。32家企业纳入疫情防控重点保障物资生产企业名单管理，已落实减税3765万元。对国网电费实行阶段性9.5折优惠政策，继续对部分高载能企业和高新技术企业执行优惠电价政策，优惠金额1.9亿元以上。按政策阶段性下调非居民用天然气销售价格，吉首市下调0.6元/立方米，7县均下调0.4元/立方米，累计优惠金额203.5万元。湘西高新区首登大湘西片区省级产业园区第3名；新建标准厂房118万平方米；泸溪高新区、凤凰工业集中区污水处理厂建成运营，全州产业园区污水管网基本实现进园企业全覆盖。</w:t>
            </w:r>
          </w:p>
          <w:p>
            <w:pPr>
              <w:ind w:firstLine="422" w:firstLineChars="200"/>
              <w:rPr>
                <w:rFonts w:ascii="仿宋" w:hAnsi="仿宋" w:eastAsia="仿宋" w:cs="仿宋"/>
                <w:bCs/>
                <w:szCs w:val="21"/>
              </w:rPr>
            </w:pPr>
            <w:r>
              <w:rPr>
                <w:rFonts w:hint="eastAsia" w:ascii="仿宋" w:hAnsi="仿宋" w:eastAsia="仿宋" w:cs="仿宋"/>
                <w:b/>
                <w:szCs w:val="21"/>
              </w:rPr>
              <w:t>3、</w:t>
            </w:r>
            <w:r>
              <w:rPr>
                <w:rFonts w:hint="eastAsia" w:ascii="仿宋" w:hAnsi="仿宋" w:eastAsia="仿宋" w:cs="仿宋"/>
                <w:szCs w:val="21"/>
              </w:rPr>
              <w:t>全州“十三五”易地扶贫搬迁199个安置项目建设已全面完成，累计完成投资超50亿元，建成安置住房1.97万套约204万平方米，1.97万户8.18万人建档立卡贫困群众已全部进新区、住新房、过上新生活，全国易地扶贫搬迁论坛全面推介了“湘西经验”</w:t>
            </w:r>
            <w:r>
              <w:rPr>
                <w:rFonts w:hint="eastAsia" w:ascii="仿宋" w:hAnsi="仿宋" w:eastAsia="仿宋" w:cs="仿宋"/>
                <w:b/>
                <w:szCs w:val="21"/>
              </w:rPr>
              <w:t>。</w:t>
            </w:r>
            <w:r>
              <w:rPr>
                <w:rFonts w:hint="eastAsia" w:ascii="仿宋" w:hAnsi="仿宋" w:eastAsia="仿宋" w:cs="仿宋"/>
                <w:szCs w:val="21"/>
              </w:rPr>
              <w:t>2017年-2020年，济南市累计援助湘西州财政资金11.08亿元、社会帮扶资金（含物资）2.58亿元，实施协作项目397个，47家企业落户湘西，建设扶贫车间217个，消费扶贫产品3.59亿元，帮助贫困劳动力实现就业5.8万余人次，两地互派挂职干部和专业技术人才2358人，全州43.8万余名贫困人口受益，扶贫协作成绩显著。推进2019年长江经济带生态环境警示片披露问题整改，配合国家发改委开展“锰三角锰产业发展”专题调</w:t>
            </w:r>
            <w:r>
              <w:rPr>
                <w:rFonts w:hint="eastAsia" w:ascii="仿宋" w:hAnsi="仿宋" w:eastAsia="仿宋" w:cs="仿宋"/>
                <w:bCs/>
                <w:szCs w:val="21"/>
              </w:rPr>
              <w:t>研。认真落实省定能源“双控”目标，开展全州9个省级园区的区域节能评估工作，推进重点用能单位节能监察、举办年度节能宣传周系列活动。完善政府投资评审工作，完成评审任务25项，节约政府投资逾千万元，核减能源消费90.85吨标准煤，退回不符合规范要求和建设标准的项目3项。</w:t>
            </w:r>
          </w:p>
          <w:p>
            <w:pPr>
              <w:ind w:firstLine="420" w:firstLineChars="200"/>
              <w:rPr>
                <w:rFonts w:ascii="仿宋" w:hAnsi="仿宋" w:eastAsia="仿宋" w:cs="仿宋"/>
                <w:bCs/>
                <w:szCs w:val="21"/>
              </w:rPr>
            </w:pPr>
            <w:r>
              <w:rPr>
                <w:rFonts w:hint="eastAsia" w:ascii="仿宋" w:hAnsi="仿宋" w:eastAsia="仿宋" w:cs="仿宋"/>
                <w:bCs/>
                <w:szCs w:val="21"/>
              </w:rPr>
              <w:t>4、推进济南湘西劳务协作，帮助1.95万贫困人口稳定就业。出台《湘西州关于进一步做好中央预算内投资建设项目农民工工资支付工资的通知》（州发改发〔2020〕150号），支持康养中心、基层公共卫生服务能力提升、教育现代化、公办幼儿园等一批重点民生项目建设，完成社会足球场建设。启动社会救助和保障标准与物价上涨挂钩联动机制，全年累计发放价格临时补贴8140.37万元。开展粮食作物存售、农资购买等农产品成本调查，完成湘西州普通高中学业水平考试收费等11个定价成本监审项目，核减非定价成本9111万元，核减率达17.32%。创新推进价格认定工作，做好全州退捕渔船价格认定。</w:t>
            </w:r>
          </w:p>
          <w:p>
            <w:pPr>
              <w:ind w:firstLine="420" w:firstLineChars="200"/>
              <w:rPr>
                <w:rFonts w:ascii="仿宋" w:hAnsi="仿宋" w:eastAsia="仿宋" w:cs="仿宋"/>
                <w:bCs/>
                <w:szCs w:val="21"/>
              </w:rPr>
            </w:pPr>
            <w:r>
              <w:rPr>
                <w:rFonts w:hint="eastAsia" w:ascii="仿宋" w:hAnsi="仿宋" w:eastAsia="仿宋" w:cs="仿宋"/>
                <w:bCs/>
                <w:szCs w:val="21"/>
              </w:rPr>
              <w:t>5、印发《湘西自治州2020年深化经济体制改革重点任务及责任分工》《湘西自治州2020年深化社会体制改革重点任务及责任分工》，完成经济体制改革任务清单26项、社会体制改革任务清单21项。代拟出台《2020年湘西州深化“放管服”改革优化营商环境工作计划》《放管服改革优化营商环境及智慧湘西建设工作专项考核办法》等，构建“1+9+200+450”营商环境监测体系。疫情期间推行“不见面审批”，优惠支持政策集中梳理，形成“干货”政策条款清单，开展政策入企宣传和落实情况调研工作，落实纾困惠企政策。持续聘请第三方机构开展优化营商环境评估，推广监测员机制，全力优化营商环境，为企业和群众提供优质高效服务。企业对我州营商环境满意度由48.3%提高至69.3%。梳理出《信用联合奖惩联席会议机制清单》《信用联合奖惩措施清单》《湘西州公共信用信息归集目录（2020年版）》等，基本完成州社会信用信息共享交换平台升级改造工程。全州共归集各类信用信息82.97万条，新增信用联合奖惩市场主体对象975个。</w:t>
            </w:r>
          </w:p>
          <w:p>
            <w:pPr>
              <w:ind w:firstLine="420" w:firstLineChars="200"/>
              <w:rPr>
                <w:rFonts w:hint="eastAsia" w:ascii="仿宋" w:hAnsi="仿宋" w:eastAsia="仿宋" w:cs="仿宋"/>
                <w:b/>
                <w:szCs w:val="21"/>
              </w:rPr>
            </w:pPr>
            <w:r>
              <w:rPr>
                <w:rFonts w:hint="eastAsia" w:ascii="仿宋" w:hAnsi="仿宋" w:eastAsia="仿宋" w:cs="仿宋"/>
                <w:bCs/>
                <w:szCs w:val="21"/>
              </w:rPr>
              <w:t>6、学习习近平新时代中国特色社会主义思想，贯彻落实党的十九届五中全会及习近平总书记来湘考察重要讲话精神等，完成年度普法学习任务，全年组织党组理论学习中心组10次，周五集体学习26次，主题党日活动35次。严格执行“三会一课”、民主评议党员、组织生活会等各项制度，完成“不忘初心、牢记使命”主题教育总结会，成立了州发改系统机关党委（纪委），表彰了系统14名优秀共产党员，6名党务工作者，2个先进基层党组织。按照新的“三定”职能职责，配好干部队伍，关键岗位轮岗。主动承担急难险重任务，主动承担急难险重任务，争取了一批重大项目、重大平台落地湘西，吉凤投9亿元城投企业债券成功发行，新增省级企业技术中心2家，湖南湘西国家农业科技园成功申报省级双创示范基地。全州发改系统宣传工作取得了较好成绩，一批重要稿件在国家发展改革委网站、中国改革报、光明日报，湖南日报、省发改委网站等国省重要媒体发表，进一步向外传递扩大了“湘西发改声音”。湘西州发改委被国家发展改革委授予全国易地扶贫搬迁“搬迁工作担当有为集体”、荣获全州优化营商环境先进单位、省级文明单位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67" w:hRule="atLeast"/>
          <w:jc w:val="center"/>
        </w:trPr>
        <w:tc>
          <w:tcPr>
            <w:tcW w:w="9941" w:type="dxa"/>
            <w:gridSpan w:val="14"/>
            <w:vAlign w:val="center"/>
          </w:tcPr>
          <w:p>
            <w:pPr>
              <w:autoSpaceDN w:val="0"/>
              <w:spacing w:line="320" w:lineRule="exact"/>
              <w:jc w:val="center"/>
              <w:textAlignment w:val="center"/>
              <w:rPr>
                <w:rFonts w:ascii="仿宋" w:hAnsi="仿宋" w:eastAsia="仿宋" w:cs="仿宋"/>
                <w:szCs w:val="21"/>
              </w:rPr>
            </w:pPr>
            <w:r>
              <w:rPr>
                <w:rFonts w:ascii="仿宋" w:hAnsi="仿宋" w:eastAsia="仿宋" w:cs="仿宋"/>
                <w:b/>
                <w:bCs/>
                <w:szCs w:val="21"/>
              </w:rPr>
              <w:t xml:space="preserve">  </w:t>
            </w:r>
            <w:r>
              <w:rPr>
                <w:rFonts w:hint="eastAsia" w:ascii="仿宋" w:hAnsi="仿宋" w:eastAsia="仿宋" w:cs="仿宋"/>
                <w:b/>
                <w:bCs/>
                <w:szCs w:val="21"/>
              </w:rPr>
              <w:t xml:space="preserve"> 二、部门（单位）收支情况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52" w:hRule="atLeast"/>
          <w:jc w:val="center"/>
        </w:trPr>
        <w:tc>
          <w:tcPr>
            <w:tcW w:w="9941" w:type="dxa"/>
            <w:gridSpan w:val="14"/>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b/>
                <w:bCs/>
                <w:szCs w:val="21"/>
              </w:rPr>
              <w:t>年度收入情况（万元）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392" w:hRule="atLeast"/>
          <w:jc w:val="center"/>
        </w:trPr>
        <w:tc>
          <w:tcPr>
            <w:tcW w:w="1698" w:type="dxa"/>
            <w:gridSpan w:val="3"/>
            <w:vMerge w:val="restart"/>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机构名称</w:t>
            </w:r>
          </w:p>
        </w:tc>
        <w:tc>
          <w:tcPr>
            <w:tcW w:w="1621" w:type="dxa"/>
            <w:gridSpan w:val="2"/>
            <w:vMerge w:val="restart"/>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收入合计</w:t>
            </w:r>
          </w:p>
        </w:tc>
        <w:tc>
          <w:tcPr>
            <w:tcW w:w="6622" w:type="dxa"/>
            <w:gridSpan w:val="9"/>
            <w:tcBorders>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58" w:hRule="atLeast"/>
          <w:jc w:val="center"/>
        </w:trPr>
        <w:tc>
          <w:tcPr>
            <w:tcW w:w="1698" w:type="dxa"/>
            <w:gridSpan w:val="3"/>
            <w:vMerge w:val="continue"/>
            <w:vAlign w:val="center"/>
          </w:tcPr>
          <w:p>
            <w:pPr>
              <w:autoSpaceDN w:val="0"/>
              <w:spacing w:line="320" w:lineRule="exact"/>
              <w:jc w:val="center"/>
              <w:textAlignment w:val="center"/>
              <w:rPr>
                <w:rFonts w:ascii="仿宋" w:hAnsi="仿宋" w:eastAsia="仿宋" w:cs="仿宋"/>
                <w:szCs w:val="21"/>
              </w:rPr>
            </w:pPr>
          </w:p>
        </w:tc>
        <w:tc>
          <w:tcPr>
            <w:tcW w:w="1621" w:type="dxa"/>
            <w:gridSpan w:val="2"/>
            <w:vMerge w:val="continue"/>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p>
        </w:tc>
        <w:tc>
          <w:tcPr>
            <w:tcW w:w="1134" w:type="dxa"/>
            <w:gridSpan w:val="2"/>
            <w:tcBorders>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上年结转</w:t>
            </w:r>
          </w:p>
        </w:tc>
        <w:tc>
          <w:tcPr>
            <w:tcW w:w="1212"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公共财</w:t>
            </w:r>
          </w:p>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政拨款</w:t>
            </w:r>
          </w:p>
        </w:tc>
        <w:tc>
          <w:tcPr>
            <w:tcW w:w="1500"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政府基金拨款</w:t>
            </w:r>
          </w:p>
        </w:tc>
        <w:tc>
          <w:tcPr>
            <w:tcW w:w="960" w:type="dxa"/>
            <w:gridSpan w:val="3"/>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事业收入</w:t>
            </w:r>
          </w:p>
        </w:tc>
        <w:tc>
          <w:tcPr>
            <w:tcW w:w="1816" w:type="dxa"/>
            <w:gridSpan w:val="2"/>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其他</w:t>
            </w:r>
          </w:p>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72" w:hRule="atLeast"/>
          <w:jc w:val="center"/>
        </w:trPr>
        <w:tc>
          <w:tcPr>
            <w:tcW w:w="1698" w:type="dxa"/>
            <w:gridSpan w:val="3"/>
            <w:vAlign w:val="center"/>
          </w:tcPr>
          <w:p>
            <w:pPr>
              <w:pStyle w:val="13"/>
              <w:jc w:val="center"/>
              <w:rPr>
                <w:rFonts w:ascii="仿宋" w:hAnsi="仿宋" w:eastAsia="仿宋" w:cs="仿宋"/>
                <w:szCs w:val="21"/>
              </w:rPr>
            </w:pPr>
            <w:r>
              <w:rPr>
                <w:rFonts w:hint="eastAsia" w:ascii="仿宋" w:hAnsi="仿宋" w:eastAsia="仿宋" w:cs="仿宋"/>
                <w:szCs w:val="21"/>
              </w:rPr>
              <w:t>局机关及二级机构汇总</w:t>
            </w:r>
          </w:p>
        </w:tc>
        <w:tc>
          <w:tcPr>
            <w:tcW w:w="1621" w:type="dxa"/>
            <w:gridSpan w:val="2"/>
            <w:tcBorders>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4,324.57</w:t>
            </w:r>
          </w:p>
        </w:tc>
        <w:tc>
          <w:tcPr>
            <w:tcW w:w="1134" w:type="dxa"/>
            <w:gridSpan w:val="2"/>
            <w:tcBorders>
              <w:lef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515.36</w:t>
            </w:r>
          </w:p>
        </w:tc>
        <w:tc>
          <w:tcPr>
            <w:tcW w:w="1212" w:type="dxa"/>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3,578.69</w:t>
            </w:r>
          </w:p>
        </w:tc>
        <w:tc>
          <w:tcPr>
            <w:tcW w:w="1500" w:type="dxa"/>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193.60</w:t>
            </w:r>
          </w:p>
        </w:tc>
        <w:tc>
          <w:tcPr>
            <w:tcW w:w="960" w:type="dxa"/>
            <w:gridSpan w:val="3"/>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0</w:t>
            </w:r>
          </w:p>
        </w:tc>
        <w:tc>
          <w:tcPr>
            <w:tcW w:w="1816" w:type="dxa"/>
            <w:gridSpan w:val="2"/>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36.93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73" w:hRule="atLeast"/>
          <w:jc w:val="center"/>
        </w:trPr>
        <w:tc>
          <w:tcPr>
            <w:tcW w:w="9941" w:type="dxa"/>
            <w:gridSpan w:val="14"/>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b/>
                <w:bCs/>
                <w:szCs w:val="21"/>
              </w:rPr>
              <w:t>部门（单位）年度支出和结余情况（万元）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09" w:hRule="atLeast"/>
          <w:jc w:val="center"/>
        </w:trPr>
        <w:tc>
          <w:tcPr>
            <w:tcW w:w="1698" w:type="dxa"/>
            <w:gridSpan w:val="3"/>
            <w:vMerge w:val="restart"/>
            <w:vAlign w:val="center"/>
          </w:tcPr>
          <w:p>
            <w:pPr>
              <w:snapToGrid w:val="0"/>
              <w:spacing w:line="320" w:lineRule="exact"/>
              <w:jc w:val="center"/>
              <w:rPr>
                <w:rFonts w:ascii="仿宋" w:hAnsi="仿宋" w:eastAsia="仿宋" w:cs="仿宋"/>
                <w:szCs w:val="21"/>
              </w:rPr>
            </w:pPr>
            <w:r>
              <w:rPr>
                <w:rFonts w:hint="eastAsia" w:ascii="仿宋" w:hAnsi="仿宋" w:eastAsia="仿宋" w:cs="仿宋"/>
                <w:szCs w:val="21"/>
              </w:rPr>
              <w:t>机构名称</w:t>
            </w:r>
          </w:p>
        </w:tc>
        <w:tc>
          <w:tcPr>
            <w:tcW w:w="1621" w:type="dxa"/>
            <w:gridSpan w:val="2"/>
            <w:vMerge w:val="restart"/>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支出合计</w:t>
            </w:r>
          </w:p>
        </w:tc>
        <w:tc>
          <w:tcPr>
            <w:tcW w:w="4806" w:type="dxa"/>
            <w:gridSpan w:val="7"/>
            <w:tcBorders>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其中：</w:t>
            </w:r>
          </w:p>
        </w:tc>
        <w:tc>
          <w:tcPr>
            <w:tcW w:w="1816" w:type="dxa"/>
            <w:gridSpan w:val="2"/>
            <w:tcBorders>
              <w:left w:val="single" w:color="auto" w:sz="4" w:space="0"/>
              <w:bottom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360" w:hRule="atLeast"/>
          <w:jc w:val="center"/>
        </w:trPr>
        <w:tc>
          <w:tcPr>
            <w:tcW w:w="1698" w:type="dxa"/>
            <w:gridSpan w:val="3"/>
            <w:vMerge w:val="continue"/>
            <w:vAlign w:val="center"/>
          </w:tcPr>
          <w:p>
            <w:pPr>
              <w:spacing w:line="320" w:lineRule="exact"/>
              <w:jc w:val="center"/>
              <w:rPr>
                <w:rFonts w:ascii="仿宋" w:hAnsi="仿宋" w:eastAsia="仿宋" w:cs="仿宋"/>
                <w:szCs w:val="21"/>
              </w:rPr>
            </w:pPr>
          </w:p>
        </w:tc>
        <w:tc>
          <w:tcPr>
            <w:tcW w:w="1621" w:type="dxa"/>
            <w:gridSpan w:val="2"/>
            <w:vMerge w:val="continue"/>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p>
        </w:tc>
        <w:tc>
          <w:tcPr>
            <w:tcW w:w="1134" w:type="dxa"/>
            <w:gridSpan w:val="2"/>
            <w:vMerge w:val="restart"/>
            <w:tcBorders>
              <w:top w:val="single" w:color="auto" w:sz="4" w:space="0"/>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基本支出</w:t>
            </w:r>
          </w:p>
        </w:tc>
        <w:tc>
          <w:tcPr>
            <w:tcW w:w="2712" w:type="dxa"/>
            <w:gridSpan w:val="2"/>
            <w:tcBorders>
              <w:top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其中：</w:t>
            </w:r>
          </w:p>
        </w:tc>
        <w:tc>
          <w:tcPr>
            <w:tcW w:w="960" w:type="dxa"/>
            <w:gridSpan w:val="3"/>
            <w:vMerge w:val="restart"/>
            <w:tcBorders>
              <w:top w:val="single" w:color="auto" w:sz="4" w:space="0"/>
              <w:left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项目支出</w:t>
            </w:r>
          </w:p>
        </w:tc>
        <w:tc>
          <w:tcPr>
            <w:tcW w:w="915" w:type="dxa"/>
            <w:vMerge w:val="restart"/>
            <w:tcBorders>
              <w:top w:val="single" w:color="auto" w:sz="4" w:space="0"/>
              <w:left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当年结余</w:t>
            </w:r>
          </w:p>
        </w:tc>
        <w:tc>
          <w:tcPr>
            <w:tcW w:w="901" w:type="dxa"/>
            <w:vMerge w:val="restart"/>
            <w:tcBorders>
              <w:top w:val="single" w:color="auto" w:sz="4" w:space="0"/>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累计结余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49" w:hRule="atLeast"/>
          <w:jc w:val="center"/>
        </w:trPr>
        <w:tc>
          <w:tcPr>
            <w:tcW w:w="1698" w:type="dxa"/>
            <w:gridSpan w:val="3"/>
            <w:vMerge w:val="continue"/>
            <w:vAlign w:val="center"/>
          </w:tcPr>
          <w:p>
            <w:pPr>
              <w:spacing w:line="320" w:lineRule="exact"/>
              <w:jc w:val="center"/>
              <w:rPr>
                <w:rFonts w:ascii="仿宋" w:hAnsi="仿宋" w:eastAsia="仿宋" w:cs="仿宋"/>
                <w:szCs w:val="21"/>
              </w:rPr>
            </w:pPr>
          </w:p>
        </w:tc>
        <w:tc>
          <w:tcPr>
            <w:tcW w:w="1621" w:type="dxa"/>
            <w:gridSpan w:val="2"/>
            <w:vMerge w:val="continue"/>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p>
        </w:tc>
        <w:tc>
          <w:tcPr>
            <w:tcW w:w="1134" w:type="dxa"/>
            <w:gridSpan w:val="2"/>
            <w:vMerge w:val="continue"/>
            <w:tcBorders>
              <w:left w:val="single" w:color="auto" w:sz="4" w:space="0"/>
            </w:tcBorders>
            <w:vAlign w:val="center"/>
          </w:tcPr>
          <w:p>
            <w:pPr>
              <w:autoSpaceDN w:val="0"/>
              <w:spacing w:line="320" w:lineRule="exact"/>
              <w:jc w:val="center"/>
              <w:textAlignment w:val="center"/>
              <w:rPr>
                <w:rFonts w:ascii="仿宋" w:hAnsi="仿宋" w:eastAsia="仿宋" w:cs="仿宋"/>
                <w:szCs w:val="21"/>
              </w:rPr>
            </w:pPr>
          </w:p>
        </w:tc>
        <w:tc>
          <w:tcPr>
            <w:tcW w:w="1212"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人员支出</w:t>
            </w:r>
          </w:p>
        </w:tc>
        <w:tc>
          <w:tcPr>
            <w:tcW w:w="1500" w:type="dxa"/>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公用支出</w:t>
            </w:r>
          </w:p>
        </w:tc>
        <w:tc>
          <w:tcPr>
            <w:tcW w:w="960" w:type="dxa"/>
            <w:gridSpan w:val="3"/>
            <w:vMerge w:val="continue"/>
            <w:tcBorders>
              <w:left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Cs w:val="21"/>
              </w:rPr>
            </w:pPr>
          </w:p>
        </w:tc>
        <w:tc>
          <w:tcPr>
            <w:tcW w:w="915" w:type="dxa"/>
            <w:vMerge w:val="continue"/>
            <w:tcBorders>
              <w:left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Cs w:val="21"/>
              </w:rPr>
            </w:pPr>
          </w:p>
        </w:tc>
        <w:tc>
          <w:tcPr>
            <w:tcW w:w="901" w:type="dxa"/>
            <w:vMerge w:val="continue"/>
            <w:tcBorders>
              <w:left w:val="single" w:color="auto" w:sz="4" w:space="0"/>
            </w:tcBorders>
            <w:vAlign w:val="center"/>
          </w:tcPr>
          <w:p>
            <w:pPr>
              <w:autoSpaceDN w:val="0"/>
              <w:spacing w:line="320" w:lineRule="exact"/>
              <w:jc w:val="center"/>
              <w:textAlignment w:val="center"/>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12" w:hRule="atLeast"/>
          <w:jc w:val="center"/>
        </w:trPr>
        <w:tc>
          <w:tcPr>
            <w:tcW w:w="1698" w:type="dxa"/>
            <w:gridSpan w:val="3"/>
            <w:vAlign w:val="bottom"/>
          </w:tcPr>
          <w:p>
            <w:pPr>
              <w:pStyle w:val="13"/>
              <w:jc w:val="center"/>
              <w:rPr>
                <w:rFonts w:ascii="仿宋" w:hAnsi="仿宋" w:eastAsia="仿宋" w:cs="仿宋"/>
                <w:szCs w:val="21"/>
              </w:rPr>
            </w:pPr>
            <w:r>
              <w:rPr>
                <w:rFonts w:hint="eastAsia" w:ascii="仿宋" w:hAnsi="仿宋" w:eastAsia="仿宋" w:cs="仿宋"/>
                <w:szCs w:val="21"/>
              </w:rPr>
              <w:t>局机关及二级机构汇总</w:t>
            </w:r>
          </w:p>
        </w:tc>
        <w:tc>
          <w:tcPr>
            <w:tcW w:w="1621" w:type="dxa"/>
            <w:gridSpan w:val="2"/>
            <w:tcBorders>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 xml:space="preserve">3449.61 </w:t>
            </w:r>
          </w:p>
        </w:tc>
        <w:tc>
          <w:tcPr>
            <w:tcW w:w="1134" w:type="dxa"/>
            <w:gridSpan w:val="2"/>
            <w:tcBorders>
              <w:lef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 xml:space="preserve">1748.38 </w:t>
            </w:r>
          </w:p>
        </w:tc>
        <w:tc>
          <w:tcPr>
            <w:tcW w:w="1212"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 xml:space="preserve">1486.64 </w:t>
            </w:r>
          </w:p>
        </w:tc>
        <w:tc>
          <w:tcPr>
            <w:tcW w:w="1500" w:type="dxa"/>
            <w:tcBorders>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 xml:space="preserve">261.74 </w:t>
            </w:r>
          </w:p>
        </w:tc>
        <w:tc>
          <w:tcPr>
            <w:tcW w:w="960" w:type="dxa"/>
            <w:gridSpan w:val="3"/>
            <w:tcBorders>
              <w:lef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 xml:space="preserve">1701.23 </w:t>
            </w:r>
          </w:p>
        </w:tc>
        <w:tc>
          <w:tcPr>
            <w:tcW w:w="915" w:type="dxa"/>
            <w:tcBorders>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359.60</w:t>
            </w:r>
          </w:p>
        </w:tc>
        <w:tc>
          <w:tcPr>
            <w:tcW w:w="901" w:type="dxa"/>
            <w:tcBorders>
              <w:lef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 xml:space="preserve">874.96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64" w:hRule="atLeast"/>
          <w:jc w:val="center"/>
        </w:trPr>
        <w:tc>
          <w:tcPr>
            <w:tcW w:w="1698" w:type="dxa"/>
            <w:gridSpan w:val="3"/>
            <w:vMerge w:val="restart"/>
            <w:vAlign w:val="center"/>
          </w:tcPr>
          <w:p>
            <w:pPr>
              <w:spacing w:line="320" w:lineRule="exact"/>
              <w:jc w:val="center"/>
              <w:rPr>
                <w:rFonts w:ascii="仿宋" w:hAnsi="仿宋" w:eastAsia="仿宋" w:cs="仿宋"/>
                <w:szCs w:val="21"/>
              </w:rPr>
            </w:pPr>
            <w:r>
              <w:rPr>
                <w:rFonts w:hint="eastAsia" w:ascii="仿宋" w:hAnsi="仿宋" w:eastAsia="仿宋" w:cs="仿宋"/>
                <w:szCs w:val="21"/>
              </w:rPr>
              <w:t>机构名称</w:t>
            </w:r>
          </w:p>
        </w:tc>
        <w:tc>
          <w:tcPr>
            <w:tcW w:w="1621" w:type="dxa"/>
            <w:gridSpan w:val="2"/>
            <w:vMerge w:val="restart"/>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三公经费</w:t>
            </w:r>
          </w:p>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合计</w:t>
            </w:r>
          </w:p>
        </w:tc>
        <w:tc>
          <w:tcPr>
            <w:tcW w:w="6622" w:type="dxa"/>
            <w:gridSpan w:val="9"/>
            <w:tcBorders>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82" w:hRule="atLeast"/>
          <w:jc w:val="center"/>
        </w:trPr>
        <w:tc>
          <w:tcPr>
            <w:tcW w:w="1698" w:type="dxa"/>
            <w:gridSpan w:val="3"/>
            <w:vMerge w:val="continue"/>
            <w:vAlign w:val="bottom"/>
          </w:tcPr>
          <w:p>
            <w:pPr>
              <w:spacing w:line="320" w:lineRule="exact"/>
              <w:jc w:val="center"/>
              <w:rPr>
                <w:rFonts w:ascii="仿宋" w:hAnsi="仿宋" w:eastAsia="仿宋" w:cs="仿宋"/>
                <w:szCs w:val="21"/>
              </w:rPr>
            </w:pPr>
          </w:p>
        </w:tc>
        <w:tc>
          <w:tcPr>
            <w:tcW w:w="1621" w:type="dxa"/>
            <w:gridSpan w:val="2"/>
            <w:vMerge w:val="continue"/>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p>
        </w:tc>
        <w:tc>
          <w:tcPr>
            <w:tcW w:w="1134" w:type="dxa"/>
            <w:gridSpan w:val="2"/>
            <w:tcBorders>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公务接待费</w:t>
            </w:r>
          </w:p>
        </w:tc>
        <w:tc>
          <w:tcPr>
            <w:tcW w:w="1212"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公务用车运行维护费</w:t>
            </w:r>
          </w:p>
        </w:tc>
        <w:tc>
          <w:tcPr>
            <w:tcW w:w="1500"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公务用车购置费</w:t>
            </w:r>
          </w:p>
        </w:tc>
        <w:tc>
          <w:tcPr>
            <w:tcW w:w="2776" w:type="dxa"/>
            <w:gridSpan w:val="5"/>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因公出国（境）费用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40" w:hRule="atLeast"/>
          <w:jc w:val="center"/>
        </w:trPr>
        <w:tc>
          <w:tcPr>
            <w:tcW w:w="1698" w:type="dxa"/>
            <w:gridSpan w:val="3"/>
            <w:vAlign w:val="bottom"/>
          </w:tcPr>
          <w:p>
            <w:pPr>
              <w:pStyle w:val="13"/>
              <w:jc w:val="center"/>
              <w:rPr>
                <w:rFonts w:ascii="仿宋" w:hAnsi="仿宋" w:eastAsia="仿宋" w:cs="仿宋"/>
                <w:szCs w:val="21"/>
              </w:rPr>
            </w:pPr>
            <w:r>
              <w:rPr>
                <w:rFonts w:hint="eastAsia" w:ascii="仿宋" w:hAnsi="仿宋" w:eastAsia="仿宋" w:cs="仿宋"/>
                <w:szCs w:val="21"/>
              </w:rPr>
              <w:t>局机关及二级机构汇总</w:t>
            </w:r>
          </w:p>
        </w:tc>
        <w:tc>
          <w:tcPr>
            <w:tcW w:w="1621" w:type="dxa"/>
            <w:gridSpan w:val="2"/>
            <w:tcBorders>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szCs w:val="21"/>
              </w:rPr>
              <w:t>65.59</w:t>
            </w:r>
          </w:p>
        </w:tc>
        <w:tc>
          <w:tcPr>
            <w:tcW w:w="1134" w:type="dxa"/>
            <w:gridSpan w:val="2"/>
            <w:tcBorders>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10.44</w:t>
            </w:r>
          </w:p>
        </w:tc>
        <w:tc>
          <w:tcPr>
            <w:tcW w:w="1212"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25.16</w:t>
            </w:r>
          </w:p>
        </w:tc>
        <w:tc>
          <w:tcPr>
            <w:tcW w:w="1500"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29.98</w:t>
            </w:r>
          </w:p>
        </w:tc>
        <w:tc>
          <w:tcPr>
            <w:tcW w:w="2776" w:type="dxa"/>
            <w:gridSpan w:val="5"/>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94" w:hRule="atLeast"/>
          <w:jc w:val="center"/>
        </w:trPr>
        <w:tc>
          <w:tcPr>
            <w:tcW w:w="1698" w:type="dxa"/>
            <w:gridSpan w:val="3"/>
            <w:vMerge w:val="restart"/>
            <w:vAlign w:val="center"/>
          </w:tcPr>
          <w:p>
            <w:pPr>
              <w:spacing w:line="320" w:lineRule="exact"/>
              <w:jc w:val="center"/>
              <w:rPr>
                <w:rFonts w:ascii="仿宋" w:hAnsi="仿宋" w:eastAsia="仿宋" w:cs="仿宋"/>
                <w:szCs w:val="21"/>
              </w:rPr>
            </w:pPr>
            <w:r>
              <w:rPr>
                <w:rFonts w:hint="eastAsia" w:ascii="仿宋" w:hAnsi="仿宋" w:eastAsia="仿宋" w:cs="仿宋"/>
                <w:szCs w:val="21"/>
              </w:rPr>
              <w:t>机构名称</w:t>
            </w:r>
          </w:p>
        </w:tc>
        <w:tc>
          <w:tcPr>
            <w:tcW w:w="1621" w:type="dxa"/>
            <w:gridSpan w:val="2"/>
            <w:vMerge w:val="restart"/>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固定资产</w:t>
            </w:r>
          </w:p>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合计</w:t>
            </w:r>
          </w:p>
        </w:tc>
        <w:tc>
          <w:tcPr>
            <w:tcW w:w="6622" w:type="dxa"/>
            <w:gridSpan w:val="9"/>
            <w:tcBorders>
              <w:left w:val="single" w:color="auto" w:sz="4" w:space="0"/>
            </w:tcBorders>
            <w:vAlign w:val="center"/>
          </w:tcPr>
          <w:p>
            <w:pPr>
              <w:autoSpaceDN w:val="0"/>
              <w:spacing w:line="320" w:lineRule="exact"/>
              <w:ind w:firstLine="1890" w:firstLineChars="900"/>
              <w:jc w:val="center"/>
              <w:textAlignment w:val="center"/>
              <w:rPr>
                <w:rFonts w:ascii="仿宋" w:hAnsi="仿宋" w:eastAsia="仿宋" w:cs="仿宋"/>
                <w:szCs w:val="21"/>
              </w:rPr>
            </w:pPr>
            <w:r>
              <w:rPr>
                <w:rFonts w:hint="eastAsia" w:ascii="仿宋" w:hAnsi="仿宋" w:eastAsia="仿宋" w:cs="仿宋"/>
                <w:szCs w:val="21"/>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79" w:hRule="atLeast"/>
          <w:jc w:val="center"/>
        </w:trPr>
        <w:tc>
          <w:tcPr>
            <w:tcW w:w="1698" w:type="dxa"/>
            <w:gridSpan w:val="3"/>
            <w:vMerge w:val="continue"/>
            <w:vAlign w:val="bottom"/>
          </w:tcPr>
          <w:p>
            <w:pPr>
              <w:spacing w:line="320" w:lineRule="exact"/>
              <w:jc w:val="center"/>
              <w:rPr>
                <w:rFonts w:ascii="仿宋" w:hAnsi="仿宋" w:eastAsia="仿宋" w:cs="仿宋"/>
                <w:szCs w:val="21"/>
              </w:rPr>
            </w:pPr>
          </w:p>
        </w:tc>
        <w:tc>
          <w:tcPr>
            <w:tcW w:w="1621" w:type="dxa"/>
            <w:gridSpan w:val="2"/>
            <w:vMerge w:val="continue"/>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p>
        </w:tc>
        <w:tc>
          <w:tcPr>
            <w:tcW w:w="2346" w:type="dxa"/>
            <w:gridSpan w:val="3"/>
            <w:tcBorders>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在用固定资产</w:t>
            </w:r>
          </w:p>
        </w:tc>
        <w:tc>
          <w:tcPr>
            <w:tcW w:w="1500" w:type="dxa"/>
            <w:tcBorders>
              <w:top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出租固定资产</w:t>
            </w:r>
          </w:p>
        </w:tc>
        <w:tc>
          <w:tcPr>
            <w:tcW w:w="2776" w:type="dxa"/>
            <w:gridSpan w:val="5"/>
            <w:tcBorders>
              <w:top w:val="single" w:color="auto" w:sz="4" w:space="0"/>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55" w:hRule="atLeast"/>
          <w:jc w:val="center"/>
        </w:trPr>
        <w:tc>
          <w:tcPr>
            <w:tcW w:w="1698" w:type="dxa"/>
            <w:gridSpan w:val="3"/>
            <w:vAlign w:val="bottom"/>
          </w:tcPr>
          <w:p>
            <w:pPr>
              <w:pStyle w:val="13"/>
              <w:jc w:val="center"/>
              <w:rPr>
                <w:rFonts w:ascii="仿宋" w:hAnsi="仿宋" w:eastAsia="仿宋" w:cs="仿宋"/>
                <w:szCs w:val="21"/>
              </w:rPr>
            </w:pPr>
            <w:r>
              <w:rPr>
                <w:rFonts w:hint="eastAsia" w:ascii="仿宋" w:hAnsi="仿宋" w:eastAsia="仿宋" w:cs="仿宋"/>
                <w:szCs w:val="21"/>
              </w:rPr>
              <w:t>局机关及二级机构汇总</w:t>
            </w:r>
          </w:p>
        </w:tc>
        <w:tc>
          <w:tcPr>
            <w:tcW w:w="1621" w:type="dxa"/>
            <w:gridSpan w:val="2"/>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936.99</w:t>
            </w:r>
          </w:p>
        </w:tc>
        <w:tc>
          <w:tcPr>
            <w:tcW w:w="2346" w:type="dxa"/>
            <w:gridSpan w:val="3"/>
            <w:tcBorders>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936.99</w:t>
            </w:r>
          </w:p>
        </w:tc>
        <w:tc>
          <w:tcPr>
            <w:tcW w:w="1500" w:type="dxa"/>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0</w:t>
            </w:r>
          </w:p>
        </w:tc>
        <w:tc>
          <w:tcPr>
            <w:tcW w:w="2776" w:type="dxa"/>
            <w:gridSpan w:val="5"/>
            <w:tcBorders>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17" w:hRule="atLeast"/>
          <w:jc w:val="center"/>
        </w:trPr>
        <w:tc>
          <w:tcPr>
            <w:tcW w:w="9941" w:type="dxa"/>
            <w:gridSpan w:val="14"/>
            <w:vAlign w:val="center"/>
          </w:tcPr>
          <w:p>
            <w:pPr>
              <w:autoSpaceDN w:val="0"/>
              <w:spacing w:line="320" w:lineRule="exact"/>
              <w:jc w:val="center"/>
              <w:textAlignment w:val="center"/>
              <w:rPr>
                <w:rFonts w:ascii="仿宋" w:hAnsi="仿宋" w:eastAsia="仿宋" w:cs="仿宋"/>
                <w:szCs w:val="21"/>
                <w:highlight w:val="yellow"/>
              </w:rPr>
            </w:pPr>
            <w:r>
              <w:rPr>
                <w:rFonts w:hint="eastAsia" w:ascii="仿宋" w:hAnsi="仿宋" w:eastAsia="仿宋" w:cs="仿宋"/>
                <w:szCs w:val="21"/>
              </w:rPr>
              <w:t>三、部门（单位）整体支出绩效自评情况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440" w:type="dxa"/>
            <w:gridSpan w:val="2"/>
            <w:vMerge w:val="restart"/>
            <w:vAlign w:val="center"/>
          </w:tcPr>
          <w:p>
            <w:pPr>
              <w:autoSpaceDN w:val="0"/>
              <w:spacing w:line="320" w:lineRule="exact"/>
              <w:jc w:val="center"/>
              <w:textAlignment w:val="center"/>
              <w:rPr>
                <w:rFonts w:ascii="仿宋" w:hAnsi="仿宋" w:eastAsia="仿宋" w:cs="仿宋"/>
                <w:szCs w:val="21"/>
                <w:highlight w:val="yellow"/>
              </w:rPr>
            </w:pPr>
            <w:r>
              <w:rPr>
                <w:rFonts w:hint="eastAsia" w:ascii="仿宋" w:hAnsi="仿宋" w:eastAsia="仿宋" w:cs="仿宋"/>
                <w:szCs w:val="21"/>
              </w:rPr>
              <w:t xml:space="preserve"> 整体支出绩效定性目标及实施计划完成情况</w:t>
            </w:r>
          </w:p>
        </w:tc>
        <w:tc>
          <w:tcPr>
            <w:tcW w:w="4225" w:type="dxa"/>
            <w:gridSpan w:val="6"/>
            <w:vAlign w:val="center"/>
          </w:tcPr>
          <w:p>
            <w:pPr>
              <w:autoSpaceDN w:val="0"/>
              <w:spacing w:line="320" w:lineRule="exact"/>
              <w:jc w:val="center"/>
              <w:textAlignment w:val="center"/>
              <w:rPr>
                <w:rFonts w:ascii="仿宋" w:hAnsi="仿宋" w:eastAsia="仿宋" w:cs="仿宋"/>
                <w:szCs w:val="21"/>
                <w:highlight w:val="yellow"/>
              </w:rPr>
            </w:pPr>
            <w:r>
              <w:rPr>
                <w:rFonts w:hint="eastAsia" w:ascii="仿宋" w:hAnsi="仿宋" w:eastAsia="仿宋" w:cs="仿宋"/>
                <w:szCs w:val="21"/>
              </w:rPr>
              <w:t>预期目标</w:t>
            </w:r>
          </w:p>
        </w:tc>
        <w:tc>
          <w:tcPr>
            <w:tcW w:w="4276" w:type="dxa"/>
            <w:gridSpan w:val="6"/>
            <w:vAlign w:val="center"/>
          </w:tcPr>
          <w:p>
            <w:pPr>
              <w:autoSpaceDN w:val="0"/>
              <w:spacing w:line="320" w:lineRule="exact"/>
              <w:jc w:val="center"/>
              <w:textAlignment w:val="center"/>
              <w:rPr>
                <w:rFonts w:ascii="仿宋" w:hAnsi="仿宋" w:eastAsia="仿宋" w:cs="仿宋"/>
                <w:szCs w:val="21"/>
                <w:highlight w:val="yellow"/>
              </w:rPr>
            </w:pPr>
            <w:r>
              <w:rPr>
                <w:rFonts w:hint="eastAsia" w:ascii="仿宋" w:hAnsi="仿宋" w:eastAsia="仿宋" w:cs="仿宋"/>
                <w:szCs w:val="21"/>
              </w:rPr>
              <w:t>实际完成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80" w:hRule="atLeast"/>
          <w:jc w:val="center"/>
        </w:trPr>
        <w:tc>
          <w:tcPr>
            <w:tcW w:w="1440" w:type="dxa"/>
            <w:gridSpan w:val="2"/>
            <w:vMerge w:val="continue"/>
            <w:vAlign w:val="center"/>
          </w:tcPr>
          <w:p>
            <w:pPr>
              <w:spacing w:line="320" w:lineRule="exact"/>
              <w:jc w:val="center"/>
              <w:rPr>
                <w:rFonts w:ascii="仿宋" w:hAnsi="仿宋" w:eastAsia="仿宋" w:cs="仿宋"/>
                <w:szCs w:val="21"/>
                <w:highlight w:val="yellow"/>
              </w:rPr>
            </w:pPr>
          </w:p>
        </w:tc>
        <w:tc>
          <w:tcPr>
            <w:tcW w:w="4225" w:type="dxa"/>
            <w:gridSpan w:val="6"/>
            <w:vAlign w:val="center"/>
          </w:tcPr>
          <w:p>
            <w:pPr>
              <w:jc w:val="left"/>
              <w:rPr>
                <w:rFonts w:ascii="仿宋" w:hAnsi="仿宋" w:eastAsia="仿宋" w:cs="仿宋"/>
                <w:szCs w:val="21"/>
                <w:highlight w:val="yellow"/>
              </w:rPr>
            </w:pPr>
            <w:r>
              <w:rPr>
                <w:rFonts w:hint="eastAsia" w:ascii="仿宋" w:hAnsi="仿宋" w:eastAsia="仿宋" w:cs="仿宋"/>
                <w:szCs w:val="21"/>
              </w:rPr>
              <w:t>目标1：完成</w:t>
            </w:r>
            <w:r>
              <w:rPr>
                <w:rFonts w:ascii="仿宋" w:hAnsi="仿宋" w:eastAsia="仿宋" w:cs="仿宋"/>
                <w:bCs/>
                <w:szCs w:val="21"/>
              </w:rPr>
              <w:t>全州“十四五”各项规划编制</w:t>
            </w:r>
            <w:r>
              <w:rPr>
                <w:rFonts w:hint="eastAsia" w:ascii="仿宋" w:hAnsi="仿宋" w:eastAsia="仿宋" w:cs="仿宋"/>
                <w:bCs/>
                <w:szCs w:val="21"/>
              </w:rPr>
              <w:t>、、</w:t>
            </w:r>
            <w:r>
              <w:rPr>
                <w:rFonts w:ascii="仿宋" w:hAnsi="仿宋" w:eastAsia="仿宋" w:cs="仿宋"/>
                <w:bCs/>
                <w:szCs w:val="21"/>
              </w:rPr>
              <w:t>出政策推动发展</w:t>
            </w:r>
            <w:r>
              <w:rPr>
                <w:rFonts w:hint="eastAsia" w:ascii="仿宋" w:hAnsi="仿宋" w:eastAsia="仿宋" w:cs="仿宋"/>
                <w:bCs/>
                <w:szCs w:val="21"/>
              </w:rPr>
              <w:t>、</w:t>
            </w:r>
            <w:r>
              <w:rPr>
                <w:rFonts w:ascii="仿宋" w:hAnsi="仿宋" w:eastAsia="仿宋" w:cs="仿宋"/>
                <w:bCs/>
                <w:szCs w:val="21"/>
              </w:rPr>
              <w:t>抓运行保障发展</w:t>
            </w:r>
            <w:r>
              <w:rPr>
                <w:rFonts w:hint="eastAsia" w:ascii="仿宋" w:hAnsi="仿宋" w:eastAsia="仿宋" w:cs="仿宋"/>
                <w:bCs/>
                <w:szCs w:val="21"/>
                <w:lang w:eastAsia="zh-CN"/>
              </w:rPr>
              <w:t>，</w:t>
            </w:r>
            <w:r>
              <w:rPr>
                <w:rFonts w:ascii="仿宋" w:hAnsi="仿宋" w:eastAsia="仿宋" w:cs="仿宋"/>
                <w:bCs/>
                <w:szCs w:val="21"/>
              </w:rPr>
              <w:t>推动经济高质量发展</w:t>
            </w:r>
            <w:r>
              <w:rPr>
                <w:rFonts w:hint="eastAsia" w:ascii="仿宋" w:hAnsi="仿宋" w:eastAsia="仿宋" w:cs="仿宋"/>
                <w:bCs/>
                <w:szCs w:val="21"/>
                <w:lang w:eastAsia="zh-CN"/>
              </w:rPr>
              <w:t>。</w:t>
            </w:r>
            <w:r>
              <w:rPr>
                <w:rFonts w:hint="eastAsia" w:ascii="仿宋" w:hAnsi="仿宋" w:eastAsia="仿宋" w:cs="仿宋"/>
                <w:bCs/>
                <w:szCs w:val="21"/>
              </w:rPr>
              <w:t xml:space="preserve"> </w:t>
            </w:r>
          </w:p>
        </w:tc>
        <w:tc>
          <w:tcPr>
            <w:tcW w:w="4276" w:type="dxa"/>
            <w:gridSpan w:val="6"/>
            <w:vAlign w:val="center"/>
          </w:tcPr>
          <w:p>
            <w:pPr>
              <w:ind w:firstLine="420" w:firstLineChars="200"/>
              <w:jc w:val="left"/>
              <w:rPr>
                <w:rFonts w:ascii="仿宋" w:hAnsi="仿宋" w:eastAsia="仿宋" w:cs="仿宋"/>
                <w:szCs w:val="21"/>
              </w:rPr>
            </w:pPr>
            <w:r>
              <w:rPr>
                <w:rFonts w:hint="eastAsia" w:ascii="仿宋" w:hAnsi="仿宋" w:eastAsia="仿宋" w:cs="仿宋"/>
                <w:szCs w:val="21"/>
              </w:rPr>
              <w:t>密切关注宏观经济形势和宏观调控政策，</w:t>
            </w:r>
            <w:r>
              <w:rPr>
                <w:rFonts w:ascii="仿宋" w:hAnsi="仿宋" w:eastAsia="仿宋" w:cs="仿宋"/>
                <w:szCs w:val="21"/>
              </w:rPr>
              <w:t>对全州经济运行情况实行按月调度、按季会商，支持相关企业申报口罩扩能资金及抗疫国债</w:t>
            </w:r>
            <w:r>
              <w:rPr>
                <w:rFonts w:hint="eastAsia" w:ascii="仿宋" w:hAnsi="仿宋" w:eastAsia="仿宋" w:cs="仿宋"/>
                <w:szCs w:val="21"/>
              </w:rPr>
              <w:t>，</w:t>
            </w:r>
            <w:r>
              <w:rPr>
                <w:rFonts w:ascii="仿宋" w:hAnsi="仿宋" w:eastAsia="仿宋" w:cs="仿宋"/>
                <w:szCs w:val="21"/>
              </w:rPr>
              <w:t>疫情防控期间市场供应充足、价格平稳</w:t>
            </w:r>
            <w:r>
              <w:rPr>
                <w:rFonts w:hint="eastAsia" w:ascii="仿宋" w:hAnsi="仿宋" w:eastAsia="仿宋" w:cs="仿宋"/>
                <w:szCs w:val="21"/>
              </w:rPr>
              <w:t>；</w:t>
            </w:r>
            <w:r>
              <w:rPr>
                <w:rFonts w:ascii="仿宋" w:hAnsi="仿宋" w:eastAsia="仿宋" w:cs="仿宋"/>
                <w:szCs w:val="21"/>
              </w:rPr>
              <w:t>完成《湘西州国民经济和社会发展第十四个五年规划和二〇三五年</w:t>
            </w:r>
            <w:r>
              <w:rPr>
                <w:rFonts w:hint="eastAsia" w:ascii="仿宋" w:hAnsi="仿宋" w:eastAsia="仿宋" w:cs="仿宋"/>
                <w:szCs w:val="21"/>
              </w:rPr>
              <w:t xml:space="preserve"> </w:t>
            </w:r>
            <w:r>
              <w:rPr>
                <w:rFonts w:ascii="仿宋" w:hAnsi="仿宋" w:eastAsia="仿宋" w:cs="仿宋"/>
                <w:szCs w:val="21"/>
              </w:rPr>
              <w:t>远景目标纲要（草案）》</w:t>
            </w:r>
            <w:r>
              <w:rPr>
                <w:rFonts w:hint="eastAsia" w:ascii="仿宋" w:hAnsi="仿宋" w:eastAsia="仿宋" w:cs="仿宋"/>
                <w:szCs w:val="21"/>
              </w:rPr>
              <w:t>、</w:t>
            </w:r>
            <w:r>
              <w:rPr>
                <w:rFonts w:ascii="仿宋" w:hAnsi="仿宋" w:eastAsia="仿宋" w:cs="仿宋"/>
                <w:szCs w:val="21"/>
              </w:rPr>
              <w:t>《湘西自治州承接产业转移示范区发展规划》《湘西自治州省级产业园区布局优化专项规划》《湘西州“十四五”电力能源发展规划》《湘西州地热资源开发利用规划》等规划编制，</w:t>
            </w:r>
            <w:r>
              <w:rPr>
                <w:rFonts w:hint="eastAsia" w:ascii="仿宋" w:hAnsi="仿宋" w:eastAsia="仿宋" w:cs="仿宋"/>
                <w:szCs w:val="21"/>
              </w:rPr>
              <w:t>抓运行保障发展，多方发力推动经济高质量发展。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32" w:hRule="atLeast"/>
          <w:jc w:val="center"/>
        </w:trPr>
        <w:tc>
          <w:tcPr>
            <w:tcW w:w="1440" w:type="dxa"/>
            <w:gridSpan w:val="2"/>
            <w:vMerge w:val="continue"/>
            <w:vAlign w:val="center"/>
          </w:tcPr>
          <w:p>
            <w:pPr>
              <w:spacing w:line="320" w:lineRule="exact"/>
              <w:jc w:val="center"/>
              <w:rPr>
                <w:rFonts w:ascii="仿宋" w:hAnsi="仿宋" w:eastAsia="仿宋" w:cs="仿宋"/>
                <w:szCs w:val="21"/>
                <w:highlight w:val="yellow"/>
              </w:rPr>
            </w:pPr>
          </w:p>
        </w:tc>
        <w:tc>
          <w:tcPr>
            <w:tcW w:w="4225" w:type="dxa"/>
            <w:gridSpan w:val="6"/>
            <w:vAlign w:val="center"/>
          </w:tcPr>
          <w:p>
            <w:pPr>
              <w:rPr>
                <w:rFonts w:ascii="仿宋" w:hAnsi="仿宋" w:eastAsia="仿宋" w:cs="仿宋"/>
                <w:bCs/>
                <w:szCs w:val="21"/>
              </w:rPr>
            </w:pPr>
            <w:r>
              <w:rPr>
                <w:rFonts w:hint="eastAsia" w:ascii="仿宋" w:hAnsi="仿宋" w:eastAsia="仿宋" w:cs="仿宋"/>
                <w:szCs w:val="21"/>
              </w:rPr>
              <w:t>目标2：</w:t>
            </w:r>
            <w:r>
              <w:rPr>
                <w:rFonts w:hint="eastAsia" w:ascii="仿宋" w:hAnsi="仿宋" w:eastAsia="仿宋" w:cs="仿宋"/>
                <w:bCs/>
                <w:szCs w:val="21"/>
              </w:rPr>
              <w:t>落实重点项目及融资，落实“六稳”工作和“六保”任务，落实实体经济优惠政策。</w:t>
            </w:r>
          </w:p>
          <w:p>
            <w:pPr>
              <w:jc w:val="center"/>
              <w:rPr>
                <w:rFonts w:ascii="仿宋" w:hAnsi="仿宋" w:eastAsia="仿宋" w:cs="仿宋"/>
                <w:szCs w:val="21"/>
                <w:highlight w:val="yellow"/>
              </w:rPr>
            </w:pPr>
          </w:p>
        </w:tc>
        <w:tc>
          <w:tcPr>
            <w:tcW w:w="4276" w:type="dxa"/>
            <w:gridSpan w:val="6"/>
            <w:vAlign w:val="center"/>
          </w:tcPr>
          <w:p>
            <w:pPr>
              <w:ind w:firstLine="420" w:firstLineChars="200"/>
              <w:rPr>
                <w:rFonts w:ascii="仿宋" w:hAnsi="仿宋" w:eastAsia="仿宋" w:cs="仿宋"/>
                <w:bCs/>
                <w:szCs w:val="21"/>
              </w:rPr>
            </w:pPr>
            <w:r>
              <w:rPr>
                <w:rFonts w:hint="eastAsia" w:ascii="仿宋" w:hAnsi="仿宋" w:eastAsia="仿宋" w:cs="仿宋"/>
                <w:bCs/>
                <w:szCs w:val="21"/>
              </w:rPr>
              <w:t>坚持疫情防控和项目建设“两手抓、两手硬、两不误”，</w:t>
            </w:r>
            <w:r>
              <w:rPr>
                <w:rFonts w:ascii="仿宋" w:hAnsi="仿宋" w:eastAsia="仿宋" w:cs="仿宋"/>
                <w:bCs/>
                <w:szCs w:val="21"/>
              </w:rPr>
              <w:t>全州建立“一日一调度、一日一协调、一日一反馈”的工作机制，</w:t>
            </w:r>
            <w:r>
              <w:rPr>
                <w:rFonts w:hint="eastAsia" w:ascii="仿宋" w:hAnsi="仿宋" w:eastAsia="仿宋" w:cs="仿宋"/>
                <w:bCs/>
                <w:szCs w:val="21"/>
              </w:rPr>
              <w:t>推进项目开工复工开展全州重点项目集中开工活动3次， 8月份实现投资转正，全年固定资产投资增长6.1%。其中省重点项目方面：24个省重点建设项 目完成投资117.5亿元，为年投资计划的175％，超额完成年度投资任务。州重点项目方面：273个州重点建设项目完成投资509.7亿元，完成考核任务的127%，张吉怀高铁铺轨建设全面开始、湘西机场跑道土石方工程全面完成、龙桑高速开工建设、“龙山-花垣”段天然气长输管网实现通气点火。省“五个100”项目方面：3个省重大业项目完成投资26.7亿元，为计划的136.9%。州重点产业项目方面：130个州重点产业项目完成投资217.7亿元，为年度计划任务的103.8%。</w:t>
            </w:r>
            <w:r>
              <w:rPr>
                <w:rFonts w:ascii="仿宋" w:hAnsi="仿宋" w:eastAsia="仿宋" w:cs="仿宋"/>
                <w:bCs/>
                <w:szCs w:val="21"/>
              </w:rPr>
              <w:t>与国开行、中国银行、建设银行、交通银行、工商银行等金融机构开展战略合作，46个企业项目与银行机构签订贷款意向书，</w:t>
            </w:r>
            <w:r>
              <w:rPr>
                <w:rFonts w:hint="eastAsia" w:ascii="仿宋" w:hAnsi="仿宋" w:eastAsia="仿宋" w:cs="仿宋"/>
                <w:bCs/>
                <w:szCs w:val="21"/>
              </w:rPr>
              <w:t>签约授信额度</w:t>
            </w:r>
            <w:r>
              <w:rPr>
                <w:rFonts w:ascii="仿宋" w:hAnsi="仿宋" w:eastAsia="仿宋" w:cs="仿宋"/>
                <w:bCs/>
                <w:szCs w:val="21"/>
              </w:rPr>
              <w:t>125亿元。积极部署基础设施不动产投资信托基金（REITs）试点工作，谋划支持项目7个，总投资达50亿元。谋划20个项目拟争取2亿美元的亚行贷款项目</w:t>
            </w:r>
            <w:r>
              <w:rPr>
                <w:rFonts w:hint="eastAsia" w:ascii="仿宋" w:hAnsi="仿宋" w:eastAsia="仿宋" w:cs="仿宋"/>
                <w:bCs/>
                <w:szCs w:val="21"/>
              </w:rPr>
              <w:t>。</w:t>
            </w:r>
            <w:r>
              <w:rPr>
                <w:rFonts w:ascii="仿宋" w:hAnsi="仿宋" w:eastAsia="仿宋" w:cs="仿宋"/>
                <w:bCs/>
                <w:szCs w:val="21"/>
              </w:rPr>
              <w:t>32家企业已落实减税3765万元</w:t>
            </w:r>
            <w:r>
              <w:rPr>
                <w:rFonts w:hint="eastAsia" w:ascii="仿宋" w:hAnsi="仿宋" w:eastAsia="仿宋" w:cs="仿宋"/>
                <w:bCs/>
                <w:szCs w:val="21"/>
              </w:rPr>
              <w:t>；</w:t>
            </w:r>
            <w:r>
              <w:rPr>
                <w:rFonts w:ascii="仿宋" w:hAnsi="仿宋" w:eastAsia="仿宋" w:cs="仿宋"/>
                <w:bCs/>
                <w:szCs w:val="21"/>
              </w:rPr>
              <w:t>高载能企业和高新技术企业执行优惠电价政策，优惠金额1.9亿元以上</w:t>
            </w:r>
            <w:r>
              <w:rPr>
                <w:rFonts w:hint="eastAsia" w:ascii="仿宋" w:hAnsi="仿宋" w:eastAsia="仿宋" w:cs="仿宋"/>
                <w:bCs/>
                <w:szCs w:val="21"/>
              </w:rPr>
              <w:t>；</w:t>
            </w:r>
            <w:r>
              <w:rPr>
                <w:rFonts w:ascii="仿宋" w:hAnsi="仿宋" w:eastAsia="仿宋" w:cs="仿宋"/>
                <w:bCs/>
                <w:szCs w:val="21"/>
              </w:rPr>
              <w:t>下调非居民用天然气销售价格，累计优惠金额203.5万元</w:t>
            </w:r>
            <w:r>
              <w:rPr>
                <w:rFonts w:hint="eastAsia" w:ascii="仿宋" w:hAnsi="仿宋" w:eastAsia="仿宋" w:cs="仿宋"/>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32" w:hRule="atLeast"/>
          <w:jc w:val="center"/>
        </w:trPr>
        <w:tc>
          <w:tcPr>
            <w:tcW w:w="1440" w:type="dxa"/>
            <w:gridSpan w:val="2"/>
            <w:vAlign w:val="center"/>
          </w:tcPr>
          <w:p>
            <w:pPr>
              <w:spacing w:line="320" w:lineRule="exact"/>
              <w:jc w:val="center"/>
              <w:rPr>
                <w:rFonts w:ascii="仿宋" w:hAnsi="仿宋" w:eastAsia="仿宋" w:cs="仿宋"/>
                <w:szCs w:val="21"/>
                <w:highlight w:val="yellow"/>
              </w:rPr>
            </w:pPr>
          </w:p>
        </w:tc>
        <w:tc>
          <w:tcPr>
            <w:tcW w:w="4225" w:type="dxa"/>
            <w:gridSpan w:val="6"/>
            <w:vAlign w:val="center"/>
          </w:tcPr>
          <w:p>
            <w:pPr>
              <w:rPr>
                <w:rFonts w:ascii="仿宋" w:hAnsi="仿宋" w:eastAsia="仿宋" w:cs="仿宋"/>
                <w:bCs/>
                <w:szCs w:val="21"/>
              </w:rPr>
            </w:pPr>
            <w:r>
              <w:rPr>
                <w:rFonts w:hint="eastAsia" w:ascii="仿宋" w:hAnsi="仿宋" w:eastAsia="仿宋" w:cs="仿宋"/>
                <w:szCs w:val="21"/>
              </w:rPr>
              <w:t>目标</w:t>
            </w:r>
            <w:r>
              <w:rPr>
                <w:rFonts w:ascii="仿宋" w:hAnsi="仿宋" w:eastAsia="仿宋" w:cs="仿宋"/>
                <w:szCs w:val="21"/>
              </w:rPr>
              <w:t>3</w:t>
            </w:r>
            <w:r>
              <w:rPr>
                <w:rFonts w:hint="eastAsia" w:ascii="仿宋" w:hAnsi="仿宋" w:eastAsia="仿宋" w:cs="仿宋"/>
                <w:bCs/>
                <w:szCs w:val="21"/>
              </w:rPr>
              <w:t>全面完成易地扶贫搬迁任务，决胜脱贫攻坚，全力打好污染防治攻坚战。完善政府投资评审工作，加强经济社会风险防范。</w:t>
            </w:r>
          </w:p>
          <w:p>
            <w:pPr>
              <w:jc w:val="center"/>
              <w:rPr>
                <w:rFonts w:ascii="仿宋" w:hAnsi="仿宋" w:eastAsia="仿宋" w:cs="仿宋"/>
                <w:szCs w:val="21"/>
              </w:rPr>
            </w:pPr>
          </w:p>
        </w:tc>
        <w:tc>
          <w:tcPr>
            <w:tcW w:w="4276" w:type="dxa"/>
            <w:gridSpan w:val="6"/>
            <w:vAlign w:val="center"/>
          </w:tcPr>
          <w:p>
            <w:pPr>
              <w:ind w:firstLine="210" w:firstLineChars="100"/>
              <w:rPr>
                <w:rFonts w:ascii="仿宋" w:hAnsi="仿宋" w:eastAsia="仿宋" w:cs="仿宋"/>
                <w:bCs/>
                <w:szCs w:val="21"/>
              </w:rPr>
            </w:pPr>
            <w:r>
              <w:rPr>
                <w:rFonts w:ascii="仿宋" w:hAnsi="仿宋" w:eastAsia="仿宋" w:cs="仿宋"/>
                <w:bCs/>
                <w:szCs w:val="21"/>
              </w:rPr>
              <w:t>易地扶贫搬迁累计完成投资超50亿元，建成安置住房1.97万套约204万平方米，</w:t>
            </w:r>
            <w:r>
              <w:rPr>
                <w:rFonts w:hint="eastAsia" w:ascii="仿宋" w:hAnsi="仿宋" w:eastAsia="仿宋" w:cs="仿宋"/>
                <w:bCs/>
                <w:szCs w:val="21"/>
              </w:rPr>
              <w:t>对</w:t>
            </w:r>
            <w:r>
              <w:rPr>
                <w:rFonts w:ascii="仿宋" w:hAnsi="仿宋" w:eastAsia="仿宋" w:cs="仿宋"/>
                <w:bCs/>
                <w:szCs w:val="21"/>
              </w:rPr>
              <w:t>贫困群众1.97万户8.18万人建档立卡</w:t>
            </w:r>
            <w:r>
              <w:rPr>
                <w:rFonts w:hint="eastAsia" w:ascii="仿宋" w:hAnsi="仿宋" w:eastAsia="仿宋" w:cs="仿宋"/>
                <w:bCs/>
                <w:szCs w:val="21"/>
              </w:rPr>
              <w:t>；</w:t>
            </w:r>
            <w:r>
              <w:rPr>
                <w:rFonts w:hint="eastAsia" w:ascii="仿宋" w:hAnsi="仿宋" w:eastAsia="仿宋" w:cs="仿宋"/>
                <w:szCs w:val="21"/>
              </w:rPr>
              <w:t>推进2019年长江经济带生态环境警示片披露问题整改，配合国家发改委开展“锰三角锰产业发展”专题调</w:t>
            </w:r>
            <w:r>
              <w:rPr>
                <w:rFonts w:hint="eastAsia" w:ascii="仿宋" w:hAnsi="仿宋" w:eastAsia="仿宋" w:cs="仿宋"/>
                <w:bCs/>
                <w:szCs w:val="21"/>
              </w:rPr>
              <w:t>研。认真落实省定能源“双控”目标，开展全州9个省级园区的区域节能评估工作，推进重点用能单位节能监察、举办年度节能宣传周系列活动；完成评审任务25项，节约政府投资逾千万元，核减能源消费90.85吨标准煤，退回不符合规范要求和建设标准的项目3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32" w:hRule="atLeast"/>
          <w:jc w:val="center"/>
        </w:trPr>
        <w:tc>
          <w:tcPr>
            <w:tcW w:w="1440" w:type="dxa"/>
            <w:gridSpan w:val="2"/>
            <w:vAlign w:val="center"/>
          </w:tcPr>
          <w:p>
            <w:pPr>
              <w:spacing w:line="320" w:lineRule="exact"/>
              <w:jc w:val="center"/>
              <w:rPr>
                <w:rFonts w:ascii="仿宋" w:hAnsi="仿宋" w:eastAsia="仿宋" w:cs="仿宋"/>
                <w:szCs w:val="21"/>
                <w:highlight w:val="yellow"/>
              </w:rPr>
            </w:pPr>
          </w:p>
        </w:tc>
        <w:tc>
          <w:tcPr>
            <w:tcW w:w="4225" w:type="dxa"/>
            <w:gridSpan w:val="6"/>
            <w:vAlign w:val="center"/>
          </w:tcPr>
          <w:p>
            <w:pPr>
              <w:jc w:val="center"/>
              <w:rPr>
                <w:rFonts w:ascii="仿宋" w:hAnsi="仿宋" w:eastAsia="仿宋" w:cs="仿宋"/>
                <w:szCs w:val="21"/>
              </w:rPr>
            </w:pPr>
            <w:r>
              <w:rPr>
                <w:rFonts w:hint="eastAsia" w:ascii="仿宋" w:hAnsi="仿宋" w:eastAsia="仿宋" w:cs="仿宋"/>
                <w:szCs w:val="21"/>
              </w:rPr>
              <w:t>目标</w:t>
            </w:r>
            <w:r>
              <w:rPr>
                <w:rFonts w:ascii="仿宋" w:hAnsi="仿宋" w:eastAsia="仿宋" w:cs="仿宋"/>
                <w:szCs w:val="21"/>
              </w:rPr>
              <w:t>4</w:t>
            </w:r>
            <w:r>
              <w:rPr>
                <w:rFonts w:hint="eastAsia" w:ascii="仿宋" w:hAnsi="仿宋" w:eastAsia="仿宋" w:cs="仿宋"/>
                <w:szCs w:val="21"/>
              </w:rPr>
              <w:t>：</w:t>
            </w:r>
            <w:r>
              <w:rPr>
                <w:rFonts w:hint="eastAsia" w:ascii="仿宋" w:hAnsi="仿宋" w:eastAsia="仿宋" w:cs="仿宋"/>
                <w:bCs/>
                <w:szCs w:val="21"/>
              </w:rPr>
              <w:t>办好民生实事-稳就业，加强价格监测。</w:t>
            </w:r>
          </w:p>
        </w:tc>
        <w:tc>
          <w:tcPr>
            <w:tcW w:w="4276" w:type="dxa"/>
            <w:gridSpan w:val="6"/>
            <w:vAlign w:val="center"/>
          </w:tcPr>
          <w:p>
            <w:pPr>
              <w:ind w:firstLine="210" w:firstLineChars="100"/>
              <w:rPr>
                <w:rFonts w:ascii="仿宋" w:hAnsi="仿宋" w:eastAsia="仿宋" w:cs="仿宋"/>
                <w:bCs/>
                <w:szCs w:val="21"/>
              </w:rPr>
            </w:pPr>
            <w:r>
              <w:rPr>
                <w:rFonts w:hint="eastAsia" w:ascii="仿宋" w:hAnsi="仿宋" w:eastAsia="仿宋" w:cs="仿宋"/>
                <w:bCs/>
                <w:szCs w:val="21"/>
              </w:rPr>
              <w:t>全力办好民生实事，对困难群众全年累计发放价格临时补贴8140.37万元；推进济南湘西劳务协作等稳就业工作，帮助1.95万贫困人口稳定就业。加强价格监测。完成湘西州普通高中学业水平考试收费等11个定价成本监审项目，核减非定价成本9111万元，核减率达17.32%；</w:t>
            </w:r>
            <w:r>
              <w:rPr>
                <w:rFonts w:ascii="仿宋" w:hAnsi="仿宋" w:eastAsia="仿宋" w:cs="仿宋"/>
                <w:bCs/>
                <w:szCs w:val="21"/>
              </w:rPr>
              <w:t>创新推进价格认定工作，做好全州退捕渔船价格认定。</w:t>
            </w:r>
          </w:p>
          <w:p>
            <w:pPr>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32" w:hRule="atLeast"/>
          <w:jc w:val="center"/>
        </w:trPr>
        <w:tc>
          <w:tcPr>
            <w:tcW w:w="1440" w:type="dxa"/>
            <w:gridSpan w:val="2"/>
            <w:vAlign w:val="center"/>
          </w:tcPr>
          <w:p>
            <w:pPr>
              <w:spacing w:line="320" w:lineRule="exact"/>
              <w:jc w:val="center"/>
              <w:rPr>
                <w:rFonts w:ascii="仿宋" w:hAnsi="仿宋" w:eastAsia="仿宋" w:cs="仿宋"/>
                <w:szCs w:val="21"/>
                <w:highlight w:val="yellow"/>
              </w:rPr>
            </w:pPr>
          </w:p>
        </w:tc>
        <w:tc>
          <w:tcPr>
            <w:tcW w:w="4225" w:type="dxa"/>
            <w:gridSpan w:val="6"/>
            <w:vAlign w:val="center"/>
          </w:tcPr>
          <w:p>
            <w:pPr>
              <w:rPr>
                <w:rFonts w:ascii="仿宋" w:hAnsi="仿宋" w:eastAsia="仿宋" w:cs="仿宋"/>
                <w:bCs/>
                <w:szCs w:val="21"/>
              </w:rPr>
            </w:pPr>
            <w:r>
              <w:rPr>
                <w:rFonts w:hint="eastAsia" w:ascii="仿宋" w:hAnsi="仿宋" w:eastAsia="仿宋" w:cs="仿宋"/>
                <w:bCs/>
                <w:szCs w:val="21"/>
              </w:rPr>
              <w:t>目标5：推进经济体制和社会事业领域改革，推进营商环境优化，改善信用环境。</w:t>
            </w:r>
          </w:p>
          <w:p>
            <w:pPr>
              <w:jc w:val="center"/>
              <w:rPr>
                <w:rFonts w:ascii="仿宋" w:hAnsi="仿宋" w:eastAsia="仿宋" w:cs="仿宋"/>
                <w:szCs w:val="21"/>
              </w:rPr>
            </w:pPr>
          </w:p>
        </w:tc>
        <w:tc>
          <w:tcPr>
            <w:tcW w:w="4276" w:type="dxa"/>
            <w:gridSpan w:val="6"/>
            <w:vAlign w:val="center"/>
          </w:tcPr>
          <w:p>
            <w:pPr>
              <w:ind w:firstLine="210" w:firstLineChars="100"/>
              <w:rPr>
                <w:rFonts w:hint="eastAsia" w:ascii="仿宋" w:hAnsi="仿宋" w:eastAsia="仿宋" w:cs="仿宋"/>
                <w:bCs/>
                <w:szCs w:val="21"/>
              </w:rPr>
            </w:pPr>
            <w:r>
              <w:rPr>
                <w:rFonts w:hint="eastAsia" w:ascii="仿宋" w:hAnsi="仿宋" w:eastAsia="仿宋" w:cs="仿宋"/>
                <w:bCs/>
                <w:szCs w:val="21"/>
              </w:rPr>
              <w:t>印发《湘西自治州2020年深化经济体制改革重点任务及责任分工》《湘西自治州2020年深化社会体制改革重点任务及责任分工》，会同相关部门完成经济体制改革任务清单26项、社会体制改革任务清单21项；代拟出台《2020年湘西州深化“放管服”改革优化营商环境工作计划》《放管服改革优化营商环境及智慧湘西建设工作专项考核办法》等，构建“1+9+200+450”营商环境监测体系；梳理出《信用联合奖惩联席会议机制清单》《信用联合奖惩措施清单》《湘西州公共信用信息归集目录（2020年版）》等，全州共归集各类信用信息82.97万条，新增信用联合奖惩市场主体对象975个。</w:t>
            </w:r>
          </w:p>
          <w:p>
            <w:pPr>
              <w:spacing w:line="560" w:lineRule="exact"/>
              <w:ind w:firstLine="420" w:firstLineChars="200"/>
              <w:rPr>
                <w:rFonts w:ascii="仿宋" w:hAnsi="仿宋" w:eastAsia="仿宋" w:cs="仿宋"/>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32" w:hRule="atLeast"/>
          <w:jc w:val="center"/>
        </w:trPr>
        <w:tc>
          <w:tcPr>
            <w:tcW w:w="1440" w:type="dxa"/>
            <w:gridSpan w:val="2"/>
            <w:vAlign w:val="center"/>
          </w:tcPr>
          <w:p>
            <w:pPr>
              <w:spacing w:line="320" w:lineRule="exact"/>
              <w:jc w:val="center"/>
              <w:rPr>
                <w:rFonts w:ascii="仿宋" w:hAnsi="仿宋" w:eastAsia="仿宋" w:cs="仿宋"/>
                <w:szCs w:val="21"/>
                <w:highlight w:val="yellow"/>
              </w:rPr>
            </w:pPr>
          </w:p>
        </w:tc>
        <w:tc>
          <w:tcPr>
            <w:tcW w:w="4225" w:type="dxa"/>
            <w:gridSpan w:val="6"/>
            <w:vAlign w:val="center"/>
          </w:tcPr>
          <w:p>
            <w:pPr>
              <w:jc w:val="left"/>
              <w:rPr>
                <w:rFonts w:ascii="仿宋" w:hAnsi="仿宋" w:eastAsia="仿宋" w:cs="仿宋"/>
                <w:szCs w:val="21"/>
              </w:rPr>
            </w:pPr>
            <w:r>
              <w:rPr>
                <w:rFonts w:hint="eastAsia" w:ascii="仿宋" w:hAnsi="仿宋" w:eastAsia="仿宋" w:cs="仿宋"/>
                <w:szCs w:val="21"/>
              </w:rPr>
              <w:t>目标</w:t>
            </w:r>
            <w:r>
              <w:rPr>
                <w:rFonts w:ascii="仿宋" w:hAnsi="仿宋" w:eastAsia="仿宋" w:cs="仿宋"/>
                <w:szCs w:val="21"/>
              </w:rPr>
              <w:t>6</w:t>
            </w:r>
            <w:r>
              <w:rPr>
                <w:rFonts w:hint="eastAsia" w:ascii="仿宋" w:hAnsi="仿宋" w:eastAsia="仿宋" w:cs="仿宋"/>
                <w:szCs w:val="21"/>
              </w:rPr>
              <w:t>：</w:t>
            </w:r>
            <w:r>
              <w:rPr>
                <w:rFonts w:hint="eastAsia" w:ascii="仿宋" w:hAnsi="仿宋" w:eastAsia="仿宋" w:cs="仿宋"/>
                <w:bCs/>
                <w:szCs w:val="21"/>
              </w:rPr>
              <w:t>：</w:t>
            </w:r>
            <w:r>
              <w:rPr>
                <w:rFonts w:ascii="仿宋" w:hAnsi="仿宋" w:eastAsia="仿宋" w:cs="仿宋"/>
                <w:bCs/>
                <w:szCs w:val="21"/>
              </w:rPr>
              <w:t xml:space="preserve">严格执行“三会一课” </w:t>
            </w:r>
            <w:r>
              <w:rPr>
                <w:rFonts w:hint="eastAsia" w:ascii="仿宋" w:hAnsi="仿宋" w:eastAsia="仿宋" w:cs="仿宋"/>
                <w:bCs/>
                <w:szCs w:val="21"/>
              </w:rPr>
              <w:t>，</w:t>
            </w:r>
            <w:r>
              <w:rPr>
                <w:rFonts w:ascii="仿宋" w:hAnsi="仿宋" w:eastAsia="仿宋" w:cs="仿宋"/>
                <w:bCs/>
                <w:szCs w:val="21"/>
              </w:rPr>
              <w:t>按照新的“三定”选齐配好干部队伍，关键岗位轮岗交流，提升干部队伍的凝聚力战斗力</w:t>
            </w:r>
            <w:r>
              <w:rPr>
                <w:rFonts w:hint="eastAsia" w:ascii="仿宋" w:hAnsi="仿宋" w:eastAsia="仿宋" w:cs="仿宋"/>
                <w:bCs/>
                <w:szCs w:val="21"/>
              </w:rPr>
              <w:t>。</w:t>
            </w:r>
          </w:p>
        </w:tc>
        <w:tc>
          <w:tcPr>
            <w:tcW w:w="4276" w:type="dxa"/>
            <w:gridSpan w:val="6"/>
            <w:vAlign w:val="center"/>
          </w:tcPr>
          <w:p>
            <w:pPr>
              <w:ind w:firstLine="420" w:firstLineChars="200"/>
              <w:rPr>
                <w:rFonts w:ascii="仿宋" w:hAnsi="仿宋" w:eastAsia="仿宋" w:cs="仿宋"/>
                <w:bCs/>
                <w:szCs w:val="21"/>
              </w:rPr>
            </w:pPr>
            <w:r>
              <w:rPr>
                <w:rFonts w:hint="eastAsia" w:ascii="仿宋" w:hAnsi="仿宋" w:eastAsia="仿宋" w:cs="仿宋"/>
                <w:bCs/>
                <w:szCs w:val="21"/>
              </w:rPr>
              <w:t>深入学习习近平新时代中国特色社会主义思想，全年组织开展党组理论学习中心组10次，周五集体学习26次，主题党日活动35次，表彰了系统14名优秀共产党员，6名党务工作者，2个先进基层党组织；对关键岗位进行轮岗交流；在全州梳理的三批推进重要政策落实的工作中，州发改委负责的事项达108项，，主动承担急难险重任务，争取了一批重大项目、重大平台落地湘西，吉凤投9亿元城投企业债券成功发行，新增省级企业技术中心2家。全州发改系统宣传工作取得了较好成绩。湘西州发改委被国家发展改革委授予全国易地扶贫搬迁“搬迁工作担当有为集体”、荣获全州优化营商环境先进单位、省级文明单位。</w:t>
            </w:r>
          </w:p>
          <w:p>
            <w:pPr>
              <w:ind w:firstLine="420" w:firstLineChars="200"/>
              <w:jc w:val="center"/>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440" w:type="dxa"/>
            <w:gridSpan w:val="2"/>
            <w:vMerge w:val="restart"/>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 xml:space="preserve"> 整体支出</w:t>
            </w:r>
          </w:p>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绩效定量目标及实施计划完成情况</w:t>
            </w:r>
          </w:p>
        </w:tc>
        <w:tc>
          <w:tcPr>
            <w:tcW w:w="4225" w:type="dxa"/>
            <w:gridSpan w:val="6"/>
            <w:tcBorders>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评价内容</w:t>
            </w:r>
          </w:p>
        </w:tc>
        <w:tc>
          <w:tcPr>
            <w:tcW w:w="2271" w:type="dxa"/>
            <w:gridSpan w:val="3"/>
            <w:tcBorders>
              <w:left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绩效目标</w:t>
            </w:r>
          </w:p>
        </w:tc>
        <w:tc>
          <w:tcPr>
            <w:tcW w:w="2005" w:type="dxa"/>
            <w:gridSpan w:val="3"/>
            <w:tcBorders>
              <w:left w:val="single" w:color="auto" w:sz="4" w:space="0"/>
            </w:tcBorders>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14" w:hRule="atLeast"/>
          <w:jc w:val="center"/>
        </w:trPr>
        <w:tc>
          <w:tcPr>
            <w:tcW w:w="1440" w:type="dxa"/>
            <w:gridSpan w:val="2"/>
            <w:vMerge w:val="continue"/>
            <w:vAlign w:val="center"/>
          </w:tcPr>
          <w:p>
            <w:pPr>
              <w:spacing w:line="320" w:lineRule="exact"/>
              <w:jc w:val="center"/>
              <w:rPr>
                <w:rFonts w:ascii="仿宋" w:hAnsi="仿宋" w:eastAsia="仿宋" w:cs="仿宋"/>
                <w:szCs w:val="21"/>
              </w:rPr>
            </w:pPr>
          </w:p>
        </w:tc>
        <w:tc>
          <w:tcPr>
            <w:tcW w:w="1677"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产出目标</w:t>
            </w:r>
          </w:p>
          <w:p>
            <w:pPr>
              <w:jc w:val="center"/>
              <w:rPr>
                <w:rFonts w:ascii="仿宋" w:hAnsi="仿宋" w:eastAsia="仿宋" w:cs="仿宋"/>
                <w:szCs w:val="21"/>
              </w:rPr>
            </w:pPr>
            <w:r>
              <w:rPr>
                <w:rFonts w:hint="eastAsia" w:ascii="仿宋" w:hAnsi="仿宋" w:eastAsia="仿宋" w:cs="仿宋"/>
                <w:szCs w:val="21"/>
              </w:rPr>
              <w:t>（部门工作实绩，包含上级部门和州委州政府布置的重点工作、实事任务等，根据部门实际进行调整细化）</w:t>
            </w:r>
          </w:p>
        </w:tc>
        <w:tc>
          <w:tcPr>
            <w:tcW w:w="795"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数量、质量、时效、成本指标</w:t>
            </w:r>
          </w:p>
          <w:p>
            <w:pPr>
              <w:jc w:val="center"/>
              <w:rPr>
                <w:rFonts w:ascii="仿宋" w:hAnsi="仿宋" w:eastAsia="仿宋" w:cs="仿宋"/>
                <w:szCs w:val="21"/>
              </w:rPr>
            </w:pPr>
          </w:p>
        </w:tc>
        <w:tc>
          <w:tcPr>
            <w:tcW w:w="1753" w:type="dxa"/>
            <w:gridSpan w:val="2"/>
            <w:tcBorders>
              <w:right w:val="single" w:color="auto" w:sz="4" w:space="0"/>
            </w:tcBorders>
            <w:vAlign w:val="center"/>
          </w:tcPr>
          <w:p>
            <w:pPr>
              <w:jc w:val="center"/>
              <w:rPr>
                <w:rFonts w:ascii="仿宋" w:hAnsi="仿宋" w:eastAsia="仿宋" w:cs="仿宋"/>
                <w:szCs w:val="21"/>
              </w:rPr>
            </w:pPr>
            <w:r>
              <w:rPr>
                <w:rFonts w:hint="eastAsia" w:ascii="仿宋" w:hAnsi="仿宋" w:eastAsia="仿宋" w:cs="仿宋"/>
                <w:szCs w:val="21"/>
              </w:rPr>
              <w:t>指标1：重点工作完成率</w:t>
            </w:r>
          </w:p>
        </w:tc>
        <w:tc>
          <w:tcPr>
            <w:tcW w:w="2271" w:type="dxa"/>
            <w:gridSpan w:val="3"/>
            <w:tcBorders>
              <w:left w:val="single" w:color="auto" w:sz="4" w:space="0"/>
              <w:right w:val="single" w:color="auto" w:sz="4" w:space="0"/>
            </w:tcBorders>
            <w:vAlign w:val="center"/>
          </w:tcPr>
          <w:p>
            <w:pPr>
              <w:jc w:val="center"/>
              <w:rPr>
                <w:rFonts w:ascii="仿宋" w:hAnsi="仿宋" w:eastAsia="仿宋" w:cs="仿宋"/>
                <w:b/>
                <w:szCs w:val="21"/>
              </w:rPr>
            </w:pPr>
            <w:r>
              <w:rPr>
                <w:rFonts w:hint="eastAsia" w:ascii="仿宋" w:hAnsi="仿宋" w:eastAsia="仿宋" w:cs="仿宋"/>
                <w:szCs w:val="21"/>
              </w:rPr>
              <w:t>100%</w:t>
            </w:r>
          </w:p>
        </w:tc>
        <w:tc>
          <w:tcPr>
            <w:tcW w:w="2005" w:type="dxa"/>
            <w:gridSpan w:val="3"/>
            <w:tcBorders>
              <w:left w:val="single" w:color="auto" w:sz="4" w:space="0"/>
            </w:tcBorders>
            <w:vAlign w:val="center"/>
          </w:tcPr>
          <w:p>
            <w:pPr>
              <w:jc w:val="center"/>
              <w:rPr>
                <w:rFonts w:ascii="仿宋" w:hAnsi="仿宋" w:eastAsia="仿宋" w:cs="仿宋"/>
                <w:kern w:val="0"/>
                <w:szCs w:val="21"/>
              </w:rPr>
            </w:pPr>
            <w:r>
              <w:rPr>
                <w:rFonts w:hint="eastAsia" w:ascii="仿宋" w:hAnsi="仿宋" w:eastAsia="仿宋" w:cs="仿宋"/>
                <w:bCs/>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04" w:hRule="atLeast"/>
          <w:jc w:val="center"/>
        </w:trPr>
        <w:tc>
          <w:tcPr>
            <w:tcW w:w="1440" w:type="dxa"/>
            <w:gridSpan w:val="2"/>
            <w:vMerge w:val="continue"/>
            <w:vAlign w:val="center"/>
          </w:tcPr>
          <w:p>
            <w:pPr>
              <w:spacing w:line="320" w:lineRule="exact"/>
              <w:jc w:val="center"/>
              <w:rPr>
                <w:rFonts w:ascii="仿宋" w:hAnsi="仿宋" w:eastAsia="仿宋" w:cs="仿宋"/>
                <w:szCs w:val="21"/>
              </w:rPr>
            </w:pPr>
          </w:p>
        </w:tc>
        <w:tc>
          <w:tcPr>
            <w:tcW w:w="1677" w:type="dxa"/>
            <w:gridSpan w:val="2"/>
            <w:vMerge w:val="continue"/>
            <w:vAlign w:val="center"/>
          </w:tcPr>
          <w:p>
            <w:pPr>
              <w:jc w:val="center"/>
              <w:rPr>
                <w:rFonts w:ascii="仿宋" w:hAnsi="仿宋" w:eastAsia="仿宋" w:cs="仿宋"/>
                <w:szCs w:val="21"/>
              </w:rPr>
            </w:pPr>
          </w:p>
        </w:tc>
        <w:tc>
          <w:tcPr>
            <w:tcW w:w="795" w:type="dxa"/>
            <w:gridSpan w:val="2"/>
            <w:vMerge w:val="continue"/>
            <w:vAlign w:val="center"/>
          </w:tcPr>
          <w:p>
            <w:pPr>
              <w:jc w:val="center"/>
              <w:rPr>
                <w:rFonts w:ascii="仿宋" w:hAnsi="仿宋" w:eastAsia="仿宋" w:cs="仿宋"/>
                <w:szCs w:val="21"/>
              </w:rPr>
            </w:pPr>
          </w:p>
        </w:tc>
        <w:tc>
          <w:tcPr>
            <w:tcW w:w="1753" w:type="dxa"/>
            <w:gridSpan w:val="2"/>
            <w:tcBorders>
              <w:right w:val="single" w:color="auto" w:sz="4" w:space="0"/>
            </w:tcBorders>
            <w:vAlign w:val="center"/>
          </w:tcPr>
          <w:p>
            <w:pPr>
              <w:jc w:val="center"/>
              <w:rPr>
                <w:rFonts w:ascii="仿宋" w:hAnsi="仿宋" w:eastAsia="仿宋" w:cs="仿宋"/>
                <w:szCs w:val="21"/>
              </w:rPr>
            </w:pPr>
            <w:r>
              <w:rPr>
                <w:rFonts w:hint="eastAsia" w:ascii="仿宋" w:hAnsi="仿宋" w:eastAsia="仿宋" w:cs="仿宋"/>
                <w:szCs w:val="21"/>
              </w:rPr>
              <w:t>指标2：预算完成率</w:t>
            </w:r>
          </w:p>
        </w:tc>
        <w:tc>
          <w:tcPr>
            <w:tcW w:w="2271" w:type="dxa"/>
            <w:gridSpan w:val="3"/>
            <w:tcBorders>
              <w:left w:val="single" w:color="auto" w:sz="4" w:space="0"/>
              <w:right w:val="single" w:color="auto" w:sz="4" w:space="0"/>
            </w:tcBorders>
            <w:vAlign w:val="center"/>
          </w:tcPr>
          <w:p>
            <w:pPr>
              <w:jc w:val="center"/>
              <w:rPr>
                <w:rFonts w:ascii="仿宋" w:hAnsi="仿宋" w:eastAsia="仿宋" w:cs="仿宋"/>
                <w:b/>
                <w:szCs w:val="21"/>
              </w:rPr>
            </w:pPr>
            <w:r>
              <w:rPr>
                <w:rFonts w:hint="eastAsia" w:ascii="仿宋" w:hAnsi="仿宋" w:eastAsia="仿宋" w:cs="仿宋"/>
                <w:szCs w:val="21"/>
              </w:rPr>
              <w:t>100%</w:t>
            </w:r>
          </w:p>
        </w:tc>
        <w:tc>
          <w:tcPr>
            <w:tcW w:w="2005" w:type="dxa"/>
            <w:gridSpan w:val="3"/>
            <w:tcBorders>
              <w:left w:val="single" w:color="auto" w:sz="4" w:space="0"/>
            </w:tcBorders>
            <w:vAlign w:val="center"/>
          </w:tcPr>
          <w:p>
            <w:pPr>
              <w:jc w:val="center"/>
              <w:rPr>
                <w:rFonts w:ascii="仿宋" w:hAnsi="仿宋" w:eastAsia="仿宋" w:cs="仿宋"/>
                <w:kern w:val="0"/>
                <w:szCs w:val="21"/>
              </w:rPr>
            </w:pPr>
            <w:r>
              <w:rPr>
                <w:rFonts w:ascii="仿宋" w:hAnsi="仿宋" w:eastAsia="仿宋" w:cs="仿宋"/>
                <w:bCs/>
                <w:szCs w:val="21"/>
              </w:rPr>
              <w:t>90.56</w:t>
            </w:r>
            <w:r>
              <w:rPr>
                <w:rFonts w:hint="eastAsia" w:ascii="仿宋" w:hAnsi="仿宋" w:eastAsia="仿宋" w:cs="仿宋"/>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54" w:hRule="atLeast"/>
          <w:jc w:val="center"/>
        </w:trPr>
        <w:tc>
          <w:tcPr>
            <w:tcW w:w="1440" w:type="dxa"/>
            <w:gridSpan w:val="2"/>
            <w:vMerge w:val="continue"/>
            <w:vAlign w:val="center"/>
          </w:tcPr>
          <w:p>
            <w:pPr>
              <w:spacing w:line="320" w:lineRule="exact"/>
              <w:jc w:val="center"/>
              <w:rPr>
                <w:rFonts w:ascii="仿宋" w:hAnsi="仿宋" w:eastAsia="仿宋" w:cs="仿宋"/>
                <w:szCs w:val="21"/>
              </w:rPr>
            </w:pPr>
          </w:p>
        </w:tc>
        <w:tc>
          <w:tcPr>
            <w:tcW w:w="1677" w:type="dxa"/>
            <w:gridSpan w:val="2"/>
            <w:vMerge w:val="continue"/>
            <w:vAlign w:val="center"/>
          </w:tcPr>
          <w:p>
            <w:pPr>
              <w:jc w:val="center"/>
              <w:rPr>
                <w:rFonts w:ascii="仿宋" w:hAnsi="仿宋" w:eastAsia="仿宋" w:cs="仿宋"/>
                <w:szCs w:val="21"/>
              </w:rPr>
            </w:pPr>
          </w:p>
        </w:tc>
        <w:tc>
          <w:tcPr>
            <w:tcW w:w="795" w:type="dxa"/>
            <w:gridSpan w:val="2"/>
            <w:vMerge w:val="continue"/>
            <w:vAlign w:val="center"/>
          </w:tcPr>
          <w:p>
            <w:pPr>
              <w:jc w:val="center"/>
              <w:rPr>
                <w:rFonts w:ascii="仿宋" w:hAnsi="仿宋" w:eastAsia="仿宋" w:cs="仿宋"/>
                <w:szCs w:val="21"/>
              </w:rPr>
            </w:pPr>
          </w:p>
        </w:tc>
        <w:tc>
          <w:tcPr>
            <w:tcW w:w="1753" w:type="dxa"/>
            <w:gridSpan w:val="2"/>
            <w:tcBorders>
              <w:right w:val="single" w:color="auto" w:sz="4" w:space="0"/>
            </w:tcBorders>
            <w:vAlign w:val="center"/>
          </w:tcPr>
          <w:p>
            <w:pPr>
              <w:jc w:val="center"/>
              <w:rPr>
                <w:rFonts w:ascii="仿宋" w:hAnsi="仿宋" w:eastAsia="仿宋" w:cs="仿宋"/>
                <w:szCs w:val="21"/>
              </w:rPr>
            </w:pPr>
            <w:r>
              <w:rPr>
                <w:rFonts w:hint="eastAsia" w:ascii="仿宋" w:hAnsi="仿宋" w:eastAsia="仿宋" w:cs="仿宋"/>
                <w:szCs w:val="21"/>
              </w:rPr>
              <w:t>指标3：政府采购执行率</w:t>
            </w:r>
          </w:p>
        </w:tc>
        <w:tc>
          <w:tcPr>
            <w:tcW w:w="2271" w:type="dxa"/>
            <w:gridSpan w:val="3"/>
            <w:tcBorders>
              <w:left w:val="single" w:color="auto" w:sz="4" w:space="0"/>
              <w:right w:val="single" w:color="auto" w:sz="4" w:space="0"/>
            </w:tcBorders>
            <w:vAlign w:val="center"/>
          </w:tcPr>
          <w:p>
            <w:pPr>
              <w:jc w:val="center"/>
              <w:rPr>
                <w:rFonts w:ascii="仿宋" w:hAnsi="仿宋" w:eastAsia="仿宋" w:cs="仿宋"/>
                <w:b/>
                <w:szCs w:val="21"/>
              </w:rPr>
            </w:pPr>
            <w:r>
              <w:rPr>
                <w:rFonts w:hint="eastAsia" w:ascii="仿宋" w:hAnsi="仿宋" w:eastAsia="仿宋" w:cs="仿宋"/>
                <w:szCs w:val="21"/>
              </w:rPr>
              <w:t>100%</w:t>
            </w:r>
          </w:p>
        </w:tc>
        <w:tc>
          <w:tcPr>
            <w:tcW w:w="2005" w:type="dxa"/>
            <w:gridSpan w:val="3"/>
            <w:tcBorders>
              <w:left w:val="single" w:color="auto" w:sz="4" w:space="0"/>
            </w:tcBorders>
            <w:vAlign w:val="center"/>
          </w:tcPr>
          <w:p>
            <w:pPr>
              <w:jc w:val="center"/>
              <w:rPr>
                <w:rFonts w:ascii="仿宋" w:hAnsi="仿宋" w:eastAsia="仿宋" w:cs="仿宋"/>
                <w:kern w:val="0"/>
                <w:szCs w:val="21"/>
              </w:rPr>
            </w:pPr>
            <w:r>
              <w:rPr>
                <w:rFonts w:ascii="仿宋" w:hAnsi="仿宋" w:eastAsia="仿宋" w:cs="仿宋"/>
                <w:bCs/>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84" w:hRule="atLeast"/>
          <w:jc w:val="center"/>
        </w:trPr>
        <w:tc>
          <w:tcPr>
            <w:tcW w:w="1440" w:type="dxa"/>
            <w:gridSpan w:val="2"/>
            <w:vMerge w:val="continue"/>
            <w:vAlign w:val="center"/>
          </w:tcPr>
          <w:p>
            <w:pPr>
              <w:spacing w:line="320" w:lineRule="exact"/>
              <w:jc w:val="center"/>
              <w:rPr>
                <w:rFonts w:ascii="仿宋" w:hAnsi="仿宋" w:eastAsia="仿宋" w:cs="仿宋"/>
                <w:szCs w:val="21"/>
              </w:rPr>
            </w:pPr>
          </w:p>
        </w:tc>
        <w:tc>
          <w:tcPr>
            <w:tcW w:w="1677" w:type="dxa"/>
            <w:gridSpan w:val="2"/>
            <w:vMerge w:val="continue"/>
            <w:vAlign w:val="center"/>
          </w:tcPr>
          <w:p>
            <w:pPr>
              <w:jc w:val="center"/>
              <w:rPr>
                <w:rFonts w:ascii="仿宋" w:hAnsi="仿宋" w:eastAsia="仿宋" w:cs="仿宋"/>
                <w:szCs w:val="21"/>
              </w:rPr>
            </w:pPr>
          </w:p>
        </w:tc>
        <w:tc>
          <w:tcPr>
            <w:tcW w:w="795" w:type="dxa"/>
            <w:gridSpan w:val="2"/>
            <w:vMerge w:val="continue"/>
            <w:vAlign w:val="center"/>
          </w:tcPr>
          <w:p>
            <w:pPr>
              <w:jc w:val="center"/>
              <w:rPr>
                <w:rFonts w:ascii="仿宋" w:hAnsi="仿宋" w:eastAsia="仿宋" w:cs="仿宋"/>
                <w:szCs w:val="21"/>
              </w:rPr>
            </w:pPr>
          </w:p>
        </w:tc>
        <w:tc>
          <w:tcPr>
            <w:tcW w:w="1753" w:type="dxa"/>
            <w:gridSpan w:val="2"/>
            <w:tcBorders>
              <w:right w:val="single" w:color="auto" w:sz="4" w:space="0"/>
            </w:tcBorders>
            <w:vAlign w:val="center"/>
          </w:tcPr>
          <w:p>
            <w:pPr>
              <w:jc w:val="center"/>
              <w:rPr>
                <w:rFonts w:ascii="仿宋" w:hAnsi="仿宋" w:eastAsia="仿宋" w:cs="仿宋"/>
                <w:szCs w:val="21"/>
              </w:rPr>
            </w:pPr>
            <w:r>
              <w:rPr>
                <w:rFonts w:hint="eastAsia" w:ascii="仿宋" w:hAnsi="仿宋" w:eastAsia="仿宋" w:cs="仿宋"/>
                <w:szCs w:val="21"/>
              </w:rPr>
              <w:t>指标4：“三公经费”控制率</w:t>
            </w:r>
          </w:p>
        </w:tc>
        <w:tc>
          <w:tcPr>
            <w:tcW w:w="2271" w:type="dxa"/>
            <w:gridSpan w:val="3"/>
            <w:tcBorders>
              <w:left w:val="single" w:color="auto" w:sz="4" w:space="0"/>
              <w:right w:val="single" w:color="auto" w:sz="4" w:space="0"/>
            </w:tcBorders>
            <w:vAlign w:val="center"/>
          </w:tcPr>
          <w:p>
            <w:pPr>
              <w:jc w:val="center"/>
              <w:rPr>
                <w:rFonts w:ascii="仿宋" w:hAnsi="仿宋" w:eastAsia="仿宋" w:cs="仿宋"/>
                <w:b/>
                <w:szCs w:val="21"/>
              </w:rPr>
            </w:pPr>
            <w:r>
              <w:rPr>
                <w:rFonts w:hint="eastAsia" w:ascii="仿宋" w:hAnsi="仿宋" w:eastAsia="仿宋" w:cs="仿宋"/>
                <w:szCs w:val="21"/>
              </w:rPr>
              <w:t>100%</w:t>
            </w:r>
          </w:p>
        </w:tc>
        <w:tc>
          <w:tcPr>
            <w:tcW w:w="2005" w:type="dxa"/>
            <w:gridSpan w:val="3"/>
            <w:tcBorders>
              <w:left w:val="single" w:color="auto" w:sz="4" w:space="0"/>
            </w:tcBorders>
            <w:vAlign w:val="center"/>
          </w:tcPr>
          <w:p>
            <w:pPr>
              <w:jc w:val="center"/>
              <w:rPr>
                <w:rFonts w:ascii="仿宋" w:hAnsi="仿宋" w:eastAsia="仿宋" w:cs="仿宋"/>
                <w:kern w:val="0"/>
                <w:szCs w:val="21"/>
              </w:rPr>
            </w:pPr>
            <w:r>
              <w:rPr>
                <w:rFonts w:hint="eastAsia" w:ascii="仿宋" w:hAnsi="仿宋" w:eastAsia="仿宋" w:cs="仿宋"/>
                <w:bCs/>
                <w:szCs w:val="21"/>
              </w:rPr>
              <w:t>50.41%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90" w:hRule="atLeast"/>
          <w:jc w:val="center"/>
        </w:trPr>
        <w:tc>
          <w:tcPr>
            <w:tcW w:w="1440" w:type="dxa"/>
            <w:gridSpan w:val="2"/>
            <w:vMerge w:val="continue"/>
            <w:vAlign w:val="center"/>
          </w:tcPr>
          <w:p>
            <w:pPr>
              <w:spacing w:line="320" w:lineRule="exact"/>
              <w:jc w:val="center"/>
              <w:rPr>
                <w:rFonts w:ascii="仿宋" w:hAnsi="仿宋" w:eastAsia="仿宋" w:cs="仿宋"/>
                <w:szCs w:val="21"/>
              </w:rPr>
            </w:pPr>
          </w:p>
        </w:tc>
        <w:tc>
          <w:tcPr>
            <w:tcW w:w="1677" w:type="dxa"/>
            <w:gridSpan w:val="2"/>
            <w:vMerge w:val="restart"/>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效益目标</w:t>
            </w:r>
          </w:p>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（预期实现的效益）</w:t>
            </w:r>
          </w:p>
        </w:tc>
        <w:tc>
          <w:tcPr>
            <w:tcW w:w="795" w:type="dxa"/>
            <w:gridSpan w:val="2"/>
            <w:vAlign w:val="center"/>
          </w:tcPr>
          <w:p>
            <w:pPr>
              <w:jc w:val="center"/>
              <w:rPr>
                <w:rFonts w:ascii="仿宋" w:hAnsi="仿宋" w:eastAsia="仿宋" w:cs="仿宋"/>
                <w:szCs w:val="21"/>
              </w:rPr>
            </w:pPr>
            <w:r>
              <w:rPr>
                <w:rFonts w:hint="eastAsia" w:ascii="仿宋" w:hAnsi="仿宋" w:eastAsia="仿宋" w:cs="仿宋"/>
                <w:szCs w:val="21"/>
              </w:rPr>
              <w:t>社会效益</w:t>
            </w:r>
          </w:p>
        </w:tc>
        <w:tc>
          <w:tcPr>
            <w:tcW w:w="1753" w:type="dxa"/>
            <w:gridSpan w:val="2"/>
            <w:tcBorders>
              <w:right w:val="single" w:color="auto" w:sz="4" w:space="0"/>
            </w:tcBorders>
            <w:vAlign w:val="center"/>
          </w:tcPr>
          <w:p>
            <w:pPr>
              <w:ind w:firstLine="210" w:firstLineChars="100"/>
              <w:rPr>
                <w:rFonts w:hint="eastAsia" w:ascii="仿宋" w:hAnsi="仿宋" w:eastAsia="仿宋" w:cs="仿宋"/>
                <w:bCs/>
                <w:szCs w:val="21"/>
                <w:lang w:eastAsia="zh-CN"/>
              </w:rPr>
            </w:pPr>
            <w:r>
              <w:rPr>
                <w:rFonts w:hint="eastAsia" w:ascii="仿宋" w:hAnsi="仿宋" w:eastAsia="仿宋" w:cs="仿宋"/>
                <w:bCs/>
                <w:szCs w:val="21"/>
              </w:rPr>
              <w:t>全力办好民生实事，对困难群众全年发放价格临时补贴；推进济南湘西劳务协作等稳就业工作，帮助贫困人口稳定就业</w:t>
            </w:r>
            <w:r>
              <w:rPr>
                <w:rFonts w:hint="eastAsia" w:ascii="仿宋" w:hAnsi="仿宋" w:eastAsia="仿宋" w:cs="仿宋"/>
                <w:bCs/>
                <w:szCs w:val="21"/>
                <w:lang w:eastAsia="zh-CN"/>
              </w:rPr>
              <w:t>。</w:t>
            </w:r>
          </w:p>
          <w:p>
            <w:pPr>
              <w:jc w:val="left"/>
              <w:rPr>
                <w:rFonts w:ascii="仿宋" w:hAnsi="仿宋" w:eastAsia="仿宋" w:cs="仿宋"/>
                <w:szCs w:val="21"/>
                <w:highlight w:val="yellow"/>
              </w:rPr>
            </w:pPr>
          </w:p>
        </w:tc>
        <w:tc>
          <w:tcPr>
            <w:tcW w:w="2271" w:type="dxa"/>
            <w:gridSpan w:val="3"/>
            <w:tcBorders>
              <w:left w:val="single" w:color="auto" w:sz="4" w:space="0"/>
              <w:right w:val="single" w:color="auto" w:sz="4" w:space="0"/>
            </w:tcBorders>
            <w:vAlign w:val="center"/>
          </w:tcPr>
          <w:p>
            <w:pPr>
              <w:jc w:val="both"/>
              <w:rPr>
                <w:rFonts w:hint="default" w:ascii="仿宋" w:hAnsi="仿宋" w:eastAsia="仿宋" w:cs="仿宋"/>
                <w:szCs w:val="21"/>
                <w:highlight w:val="yellow"/>
                <w:lang w:val="en-US" w:eastAsia="zh-CN"/>
              </w:rPr>
            </w:pPr>
            <w:r>
              <w:rPr>
                <w:rFonts w:hint="eastAsia" w:ascii="仿宋" w:hAnsi="仿宋" w:eastAsia="仿宋" w:cs="仿宋"/>
                <w:szCs w:val="21"/>
                <w:highlight w:val="none"/>
                <w:lang w:val="en-US" w:eastAsia="zh-CN"/>
              </w:rPr>
              <w:t>办好民生实事，稳定就业，维护社会稳定。</w:t>
            </w:r>
          </w:p>
        </w:tc>
        <w:tc>
          <w:tcPr>
            <w:tcW w:w="2005" w:type="dxa"/>
            <w:gridSpan w:val="3"/>
            <w:tcBorders>
              <w:left w:val="single" w:color="auto" w:sz="4" w:space="0"/>
            </w:tcBorders>
            <w:vAlign w:val="center"/>
          </w:tcPr>
          <w:p>
            <w:pPr>
              <w:ind w:firstLine="210" w:firstLineChars="100"/>
              <w:rPr>
                <w:rFonts w:ascii="仿宋" w:hAnsi="仿宋" w:eastAsia="仿宋" w:cs="仿宋"/>
                <w:bCs/>
                <w:szCs w:val="21"/>
              </w:rPr>
            </w:pPr>
            <w:r>
              <w:rPr>
                <w:rFonts w:hint="eastAsia" w:ascii="仿宋" w:hAnsi="仿宋" w:eastAsia="仿宋" w:cs="仿宋"/>
                <w:bCs/>
                <w:szCs w:val="21"/>
                <w:lang w:val="en-US" w:eastAsia="zh-CN"/>
              </w:rPr>
              <w:t>2020年，</w:t>
            </w:r>
            <w:r>
              <w:rPr>
                <w:rFonts w:hint="eastAsia" w:ascii="仿宋" w:hAnsi="仿宋" w:eastAsia="仿宋" w:cs="仿宋"/>
                <w:bCs/>
                <w:szCs w:val="21"/>
              </w:rPr>
              <w:t>对困难群众全年累计发放价格临时补贴8140.37万元；推进济南湘西劳务协作等稳就业工作，帮助1.95万贫困人口稳定就业。</w:t>
            </w:r>
          </w:p>
          <w:p>
            <w:pPr>
              <w:jc w:val="left"/>
              <w:rPr>
                <w:rFonts w:ascii="仿宋" w:hAnsi="仿宋" w:eastAsia="仿宋" w:cs="仿宋"/>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90" w:hRule="atLeast"/>
          <w:jc w:val="center"/>
        </w:trPr>
        <w:tc>
          <w:tcPr>
            <w:tcW w:w="1440" w:type="dxa"/>
            <w:gridSpan w:val="2"/>
            <w:vMerge w:val="continue"/>
            <w:vAlign w:val="center"/>
          </w:tcPr>
          <w:p>
            <w:pPr>
              <w:spacing w:line="320" w:lineRule="exact"/>
              <w:jc w:val="center"/>
              <w:rPr>
                <w:rFonts w:ascii="仿宋" w:hAnsi="仿宋" w:eastAsia="仿宋" w:cs="仿宋"/>
                <w:szCs w:val="21"/>
                <w:highlight w:val="yellow"/>
              </w:rPr>
            </w:pPr>
          </w:p>
        </w:tc>
        <w:tc>
          <w:tcPr>
            <w:tcW w:w="1677" w:type="dxa"/>
            <w:gridSpan w:val="2"/>
            <w:vMerge w:val="continue"/>
            <w:vAlign w:val="center"/>
          </w:tcPr>
          <w:p>
            <w:pPr>
              <w:autoSpaceDN w:val="0"/>
              <w:spacing w:line="320" w:lineRule="exact"/>
              <w:jc w:val="center"/>
              <w:textAlignment w:val="center"/>
              <w:rPr>
                <w:rFonts w:ascii="仿宋" w:hAnsi="仿宋" w:eastAsia="仿宋" w:cs="仿宋"/>
                <w:szCs w:val="21"/>
                <w:highlight w:val="yellow"/>
              </w:rPr>
            </w:pPr>
          </w:p>
        </w:tc>
        <w:tc>
          <w:tcPr>
            <w:tcW w:w="795" w:type="dxa"/>
            <w:gridSpan w:val="2"/>
            <w:vAlign w:val="center"/>
          </w:tcPr>
          <w:p>
            <w:pPr>
              <w:jc w:val="center"/>
              <w:rPr>
                <w:rFonts w:ascii="仿宋" w:hAnsi="仿宋" w:eastAsia="仿宋" w:cs="仿宋"/>
                <w:szCs w:val="21"/>
              </w:rPr>
            </w:pPr>
            <w:r>
              <w:rPr>
                <w:rFonts w:hint="eastAsia" w:ascii="仿宋" w:hAnsi="仿宋" w:eastAsia="仿宋" w:cs="仿宋"/>
                <w:szCs w:val="21"/>
              </w:rPr>
              <w:t>经济效益</w:t>
            </w:r>
          </w:p>
        </w:tc>
        <w:tc>
          <w:tcPr>
            <w:tcW w:w="1753" w:type="dxa"/>
            <w:gridSpan w:val="2"/>
            <w:tcBorders>
              <w:right w:val="single" w:color="auto" w:sz="4" w:space="0"/>
            </w:tcBorders>
            <w:vAlign w:val="center"/>
          </w:tcPr>
          <w:p>
            <w:pPr>
              <w:widowControl/>
              <w:jc w:val="both"/>
              <w:textAlignment w:val="center"/>
              <w:rPr>
                <w:rFonts w:hint="eastAsia" w:ascii="仿宋" w:hAnsi="仿宋" w:eastAsia="仿宋" w:cs="仿宋"/>
                <w:sz w:val="21"/>
                <w:szCs w:val="21"/>
                <w:highlight w:val="yellow"/>
              </w:rPr>
            </w:pPr>
            <w:r>
              <w:rPr>
                <w:rFonts w:hint="eastAsia" w:ascii="仿宋" w:hAnsi="仿宋" w:eastAsia="仿宋" w:cs="仿宋"/>
                <w:color w:val="auto"/>
                <w:kern w:val="0"/>
                <w:sz w:val="21"/>
                <w:szCs w:val="21"/>
              </w:rPr>
              <w:t xml:space="preserve">牵头抓好“产业项目推进年”活动 </w:t>
            </w:r>
          </w:p>
        </w:tc>
        <w:tc>
          <w:tcPr>
            <w:tcW w:w="2271" w:type="dxa"/>
            <w:gridSpan w:val="3"/>
            <w:tcBorders>
              <w:left w:val="single" w:color="auto" w:sz="4" w:space="0"/>
              <w:right w:val="single" w:color="auto" w:sz="4" w:space="0"/>
            </w:tcBorders>
            <w:vAlign w:val="center"/>
          </w:tcPr>
          <w:p>
            <w:pPr>
              <w:widowControl/>
              <w:jc w:val="both"/>
              <w:textAlignment w:val="center"/>
              <w:rPr>
                <w:rFonts w:hint="eastAsia" w:ascii="仿宋" w:hAnsi="仿宋" w:eastAsia="仿宋" w:cs="仿宋"/>
                <w:b/>
                <w:color w:val="FF0000"/>
                <w:sz w:val="21"/>
                <w:szCs w:val="21"/>
                <w:highlight w:val="yellow"/>
              </w:rPr>
            </w:pPr>
            <w:r>
              <w:rPr>
                <w:rFonts w:hint="eastAsia" w:ascii="仿宋" w:hAnsi="仿宋" w:eastAsia="仿宋" w:cs="仿宋"/>
                <w:color w:val="auto"/>
                <w:kern w:val="0"/>
                <w:sz w:val="21"/>
                <w:szCs w:val="21"/>
              </w:rPr>
              <w:t>围绕10大重点产业，重点打造10大特色优势产业链条，实施150个产业项目，完成投资260亿元，产业投资增长10%以上。</w:t>
            </w:r>
          </w:p>
        </w:tc>
        <w:tc>
          <w:tcPr>
            <w:tcW w:w="2005" w:type="dxa"/>
            <w:gridSpan w:val="3"/>
            <w:tcBorders>
              <w:left w:val="single" w:color="auto" w:sz="4" w:space="0"/>
            </w:tcBorders>
            <w:vAlign w:val="center"/>
          </w:tcPr>
          <w:p>
            <w:pPr>
              <w:widowControl/>
              <w:jc w:val="both"/>
              <w:textAlignment w:val="center"/>
              <w:rPr>
                <w:rFonts w:hint="eastAsia" w:ascii="仿宋" w:hAnsi="仿宋" w:eastAsia="仿宋" w:cs="仿宋"/>
                <w:color w:val="FF0000"/>
                <w:kern w:val="0"/>
                <w:sz w:val="21"/>
                <w:szCs w:val="21"/>
                <w:highlight w:val="yellow"/>
              </w:rPr>
            </w:pPr>
            <w:r>
              <w:rPr>
                <w:rFonts w:hint="eastAsia" w:ascii="仿宋" w:hAnsi="仿宋" w:eastAsia="仿宋" w:cs="仿宋"/>
                <w:color w:val="auto"/>
                <w:kern w:val="0"/>
                <w:sz w:val="21"/>
                <w:szCs w:val="21"/>
              </w:rPr>
              <w:t>273个州重点建设项目完成投资509.7亿元，完成考核任务的127%</w:t>
            </w:r>
            <w:r>
              <w:rPr>
                <w:rFonts w:hint="eastAsia" w:ascii="仿宋" w:hAnsi="仿宋" w:eastAsia="仿宋" w:cs="仿宋"/>
                <w:color w:val="auto"/>
                <w:kern w:val="0"/>
                <w:sz w:val="21"/>
                <w:szCs w:val="21"/>
                <w:lang w:eastAsia="zh-CN"/>
              </w:rPr>
              <w:t>。州重点产业项目方面：130个州重点产业项目完成投资217.7亿元，为年度计划任务的103.8%。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90" w:hRule="atLeast"/>
          <w:jc w:val="center"/>
        </w:trPr>
        <w:tc>
          <w:tcPr>
            <w:tcW w:w="1440" w:type="dxa"/>
            <w:gridSpan w:val="2"/>
            <w:vMerge w:val="continue"/>
            <w:vAlign w:val="center"/>
          </w:tcPr>
          <w:p>
            <w:pPr>
              <w:spacing w:line="320" w:lineRule="exact"/>
              <w:jc w:val="center"/>
              <w:rPr>
                <w:rFonts w:ascii="仿宋" w:hAnsi="仿宋" w:eastAsia="仿宋" w:cs="仿宋"/>
                <w:szCs w:val="21"/>
                <w:highlight w:val="yellow"/>
              </w:rPr>
            </w:pPr>
          </w:p>
        </w:tc>
        <w:tc>
          <w:tcPr>
            <w:tcW w:w="1677" w:type="dxa"/>
            <w:gridSpan w:val="2"/>
            <w:vMerge w:val="continue"/>
            <w:vAlign w:val="center"/>
          </w:tcPr>
          <w:p>
            <w:pPr>
              <w:autoSpaceDN w:val="0"/>
              <w:spacing w:line="320" w:lineRule="exact"/>
              <w:jc w:val="center"/>
              <w:textAlignment w:val="center"/>
              <w:rPr>
                <w:rFonts w:ascii="仿宋" w:hAnsi="仿宋" w:eastAsia="仿宋" w:cs="仿宋"/>
                <w:szCs w:val="21"/>
                <w:highlight w:val="yellow"/>
              </w:rPr>
            </w:pPr>
          </w:p>
        </w:tc>
        <w:tc>
          <w:tcPr>
            <w:tcW w:w="795" w:type="dxa"/>
            <w:gridSpan w:val="2"/>
            <w:vMerge w:val="restart"/>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社会公众或服务对象满意度</w:t>
            </w:r>
          </w:p>
        </w:tc>
        <w:tc>
          <w:tcPr>
            <w:tcW w:w="1753" w:type="dxa"/>
            <w:gridSpan w:val="2"/>
            <w:tcBorders>
              <w:right w:val="single" w:color="auto" w:sz="4" w:space="0"/>
            </w:tcBorders>
            <w:vAlign w:val="center"/>
          </w:tcPr>
          <w:p>
            <w:pPr>
              <w:widowControl/>
              <w:spacing w:after="200" w:line="288" w:lineRule="auto"/>
              <w:jc w:val="center"/>
              <w:rPr>
                <w:rFonts w:ascii="仿宋" w:hAnsi="仿宋" w:eastAsia="仿宋" w:cs="仿宋"/>
                <w:szCs w:val="21"/>
              </w:rPr>
            </w:pPr>
            <w:r>
              <w:rPr>
                <w:rFonts w:hint="eastAsia" w:ascii="仿宋" w:hAnsi="仿宋" w:eastAsia="仿宋" w:cs="仿宋"/>
                <w:kern w:val="0"/>
                <w:szCs w:val="21"/>
              </w:rPr>
              <w:t>指标1：服务对象满意度</w:t>
            </w:r>
          </w:p>
        </w:tc>
        <w:tc>
          <w:tcPr>
            <w:tcW w:w="2271" w:type="dxa"/>
            <w:gridSpan w:val="3"/>
            <w:tcBorders>
              <w:left w:val="single" w:color="auto" w:sz="4" w:space="0"/>
              <w:right w:val="single" w:color="auto" w:sz="4" w:space="0"/>
            </w:tcBorders>
            <w:vAlign w:val="center"/>
          </w:tcPr>
          <w:p>
            <w:pPr>
              <w:jc w:val="center"/>
              <w:rPr>
                <w:rFonts w:ascii="仿宋" w:hAnsi="仿宋" w:eastAsia="仿宋" w:cs="仿宋"/>
                <w:b/>
                <w:szCs w:val="21"/>
              </w:rPr>
            </w:pPr>
            <w:r>
              <w:rPr>
                <w:rFonts w:hint="eastAsia" w:ascii="仿宋" w:hAnsi="仿宋" w:eastAsia="仿宋" w:cs="仿宋"/>
                <w:szCs w:val="21"/>
              </w:rPr>
              <w:t>98%</w:t>
            </w:r>
          </w:p>
        </w:tc>
        <w:tc>
          <w:tcPr>
            <w:tcW w:w="2005" w:type="dxa"/>
            <w:gridSpan w:val="3"/>
            <w:tcBorders>
              <w:left w:val="single" w:color="auto" w:sz="4" w:space="0"/>
            </w:tcBorders>
            <w:vAlign w:val="center"/>
          </w:tcPr>
          <w:p>
            <w:pPr>
              <w:jc w:val="center"/>
              <w:rPr>
                <w:rFonts w:ascii="仿宋" w:hAnsi="仿宋" w:eastAsia="仿宋" w:cs="仿宋"/>
                <w:kern w:val="0"/>
                <w:szCs w:val="21"/>
              </w:rPr>
            </w:pPr>
            <w:r>
              <w:rPr>
                <w:rFonts w:hint="eastAsia" w:ascii="仿宋" w:hAnsi="仿宋" w:eastAsia="仿宋" w:cs="仿宋"/>
                <w:szCs w:val="21"/>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90" w:hRule="atLeast"/>
          <w:jc w:val="center"/>
        </w:trPr>
        <w:tc>
          <w:tcPr>
            <w:tcW w:w="1440" w:type="dxa"/>
            <w:gridSpan w:val="2"/>
            <w:vMerge w:val="continue"/>
            <w:vAlign w:val="center"/>
          </w:tcPr>
          <w:p>
            <w:pPr>
              <w:spacing w:line="320" w:lineRule="exact"/>
              <w:jc w:val="center"/>
              <w:rPr>
                <w:rFonts w:ascii="仿宋" w:hAnsi="仿宋" w:eastAsia="仿宋" w:cs="仿宋"/>
                <w:szCs w:val="21"/>
                <w:highlight w:val="yellow"/>
              </w:rPr>
            </w:pPr>
          </w:p>
        </w:tc>
        <w:tc>
          <w:tcPr>
            <w:tcW w:w="1677" w:type="dxa"/>
            <w:gridSpan w:val="2"/>
            <w:vMerge w:val="continue"/>
            <w:vAlign w:val="center"/>
          </w:tcPr>
          <w:p>
            <w:pPr>
              <w:autoSpaceDN w:val="0"/>
              <w:spacing w:line="320" w:lineRule="exact"/>
              <w:jc w:val="center"/>
              <w:textAlignment w:val="center"/>
              <w:rPr>
                <w:rFonts w:ascii="仿宋" w:hAnsi="仿宋" w:eastAsia="仿宋" w:cs="仿宋"/>
                <w:szCs w:val="21"/>
                <w:highlight w:val="yellow"/>
              </w:rPr>
            </w:pPr>
          </w:p>
        </w:tc>
        <w:tc>
          <w:tcPr>
            <w:tcW w:w="795" w:type="dxa"/>
            <w:gridSpan w:val="2"/>
            <w:vMerge w:val="continue"/>
            <w:vAlign w:val="center"/>
          </w:tcPr>
          <w:p>
            <w:pPr>
              <w:autoSpaceDN w:val="0"/>
              <w:spacing w:line="320" w:lineRule="exact"/>
              <w:jc w:val="center"/>
              <w:textAlignment w:val="center"/>
              <w:rPr>
                <w:rFonts w:ascii="仿宋" w:hAnsi="仿宋" w:eastAsia="仿宋" w:cs="仿宋"/>
                <w:szCs w:val="21"/>
              </w:rPr>
            </w:pPr>
          </w:p>
        </w:tc>
        <w:tc>
          <w:tcPr>
            <w:tcW w:w="1753" w:type="dxa"/>
            <w:gridSpan w:val="2"/>
            <w:tcBorders>
              <w:right w:val="single" w:color="auto" w:sz="4" w:space="0"/>
            </w:tcBorders>
            <w:vAlign w:val="center"/>
          </w:tcPr>
          <w:p>
            <w:pPr>
              <w:widowControl/>
              <w:spacing w:after="200" w:line="288" w:lineRule="auto"/>
              <w:jc w:val="center"/>
              <w:rPr>
                <w:rFonts w:ascii="仿宋" w:hAnsi="仿宋" w:eastAsia="仿宋" w:cs="仿宋"/>
                <w:szCs w:val="21"/>
              </w:rPr>
            </w:pPr>
            <w:r>
              <w:rPr>
                <w:rFonts w:hint="eastAsia" w:ascii="仿宋" w:hAnsi="仿宋" w:eastAsia="仿宋" w:cs="仿宋"/>
                <w:kern w:val="0"/>
                <w:szCs w:val="21"/>
              </w:rPr>
              <w:t>指标2：社会群众满意度</w:t>
            </w:r>
          </w:p>
        </w:tc>
        <w:tc>
          <w:tcPr>
            <w:tcW w:w="2271" w:type="dxa"/>
            <w:gridSpan w:val="3"/>
            <w:tcBorders>
              <w:left w:val="single" w:color="auto" w:sz="4" w:space="0"/>
              <w:right w:val="single" w:color="auto" w:sz="4" w:space="0"/>
            </w:tcBorders>
            <w:vAlign w:val="center"/>
          </w:tcPr>
          <w:p>
            <w:pPr>
              <w:jc w:val="center"/>
              <w:rPr>
                <w:rFonts w:ascii="仿宋" w:hAnsi="仿宋" w:eastAsia="仿宋" w:cs="仿宋"/>
                <w:b/>
                <w:szCs w:val="21"/>
              </w:rPr>
            </w:pPr>
            <w:r>
              <w:rPr>
                <w:rFonts w:hint="eastAsia" w:ascii="仿宋" w:hAnsi="仿宋" w:eastAsia="仿宋" w:cs="仿宋"/>
                <w:szCs w:val="21"/>
              </w:rPr>
              <w:t>98%</w:t>
            </w:r>
          </w:p>
        </w:tc>
        <w:tc>
          <w:tcPr>
            <w:tcW w:w="2005" w:type="dxa"/>
            <w:gridSpan w:val="3"/>
            <w:tcBorders>
              <w:left w:val="single" w:color="auto" w:sz="4" w:space="0"/>
            </w:tcBorders>
            <w:vAlign w:val="center"/>
          </w:tcPr>
          <w:p>
            <w:pPr>
              <w:jc w:val="center"/>
              <w:rPr>
                <w:rFonts w:ascii="仿宋" w:hAnsi="仿宋" w:eastAsia="仿宋" w:cs="仿宋"/>
                <w:kern w:val="0"/>
                <w:szCs w:val="21"/>
              </w:rPr>
            </w:pPr>
            <w:r>
              <w:rPr>
                <w:rFonts w:hint="eastAsia" w:ascii="仿宋" w:hAnsi="仿宋" w:eastAsia="仿宋" w:cs="仿宋"/>
                <w:szCs w:val="21"/>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395" w:hRule="atLeast"/>
          <w:jc w:val="center"/>
        </w:trPr>
        <w:tc>
          <w:tcPr>
            <w:tcW w:w="1440" w:type="dxa"/>
            <w:gridSpan w:val="2"/>
            <w:vMerge w:val="continue"/>
            <w:vAlign w:val="center"/>
          </w:tcPr>
          <w:p>
            <w:pPr>
              <w:spacing w:line="320" w:lineRule="exact"/>
              <w:jc w:val="center"/>
              <w:rPr>
                <w:rFonts w:ascii="仿宋" w:hAnsi="仿宋" w:eastAsia="仿宋" w:cs="仿宋"/>
                <w:szCs w:val="21"/>
                <w:highlight w:val="yellow"/>
              </w:rPr>
            </w:pPr>
          </w:p>
        </w:tc>
        <w:tc>
          <w:tcPr>
            <w:tcW w:w="1677" w:type="dxa"/>
            <w:gridSpan w:val="2"/>
            <w:vMerge w:val="continue"/>
            <w:vAlign w:val="center"/>
          </w:tcPr>
          <w:p>
            <w:pPr>
              <w:autoSpaceDN w:val="0"/>
              <w:spacing w:line="320" w:lineRule="exact"/>
              <w:jc w:val="center"/>
              <w:rPr>
                <w:rFonts w:ascii="仿宋" w:hAnsi="仿宋" w:eastAsia="仿宋" w:cs="仿宋"/>
                <w:szCs w:val="21"/>
                <w:highlight w:val="yellow"/>
              </w:rPr>
            </w:pPr>
          </w:p>
        </w:tc>
        <w:tc>
          <w:tcPr>
            <w:tcW w:w="795" w:type="dxa"/>
            <w:gridSpan w:val="2"/>
            <w:vMerge w:val="continue"/>
            <w:vAlign w:val="center"/>
          </w:tcPr>
          <w:p>
            <w:pPr>
              <w:autoSpaceDN w:val="0"/>
              <w:spacing w:line="320" w:lineRule="exact"/>
              <w:jc w:val="center"/>
              <w:textAlignment w:val="center"/>
              <w:rPr>
                <w:rFonts w:ascii="仿宋" w:hAnsi="仿宋" w:eastAsia="仿宋" w:cs="仿宋"/>
                <w:szCs w:val="21"/>
              </w:rPr>
            </w:pPr>
          </w:p>
        </w:tc>
        <w:tc>
          <w:tcPr>
            <w:tcW w:w="1753" w:type="dxa"/>
            <w:gridSpan w:val="2"/>
            <w:tcBorders>
              <w:right w:val="single" w:color="auto" w:sz="4" w:space="0"/>
            </w:tcBorders>
            <w:vAlign w:val="center"/>
          </w:tcPr>
          <w:p>
            <w:pPr>
              <w:widowControl/>
              <w:spacing w:after="200" w:line="288" w:lineRule="auto"/>
              <w:jc w:val="center"/>
              <w:rPr>
                <w:rFonts w:ascii="仿宋" w:hAnsi="仿宋" w:eastAsia="仿宋" w:cs="仿宋"/>
                <w:szCs w:val="21"/>
              </w:rPr>
            </w:pPr>
            <w:r>
              <w:rPr>
                <w:rFonts w:hint="eastAsia" w:ascii="仿宋" w:hAnsi="仿宋" w:eastAsia="仿宋" w:cs="仿宋"/>
                <w:kern w:val="0"/>
                <w:szCs w:val="21"/>
              </w:rPr>
              <w:t>指标3：部门内部员工满意度</w:t>
            </w:r>
          </w:p>
        </w:tc>
        <w:tc>
          <w:tcPr>
            <w:tcW w:w="2271" w:type="dxa"/>
            <w:gridSpan w:val="3"/>
            <w:tcBorders>
              <w:left w:val="single" w:color="auto" w:sz="4" w:space="0"/>
              <w:right w:val="single" w:color="auto" w:sz="4" w:space="0"/>
            </w:tcBorders>
            <w:vAlign w:val="center"/>
          </w:tcPr>
          <w:p>
            <w:pPr>
              <w:jc w:val="center"/>
              <w:rPr>
                <w:rFonts w:ascii="仿宋" w:hAnsi="仿宋" w:eastAsia="仿宋" w:cs="仿宋"/>
                <w:b/>
                <w:szCs w:val="21"/>
              </w:rPr>
            </w:pPr>
            <w:r>
              <w:rPr>
                <w:rFonts w:hint="eastAsia" w:ascii="仿宋" w:hAnsi="仿宋" w:eastAsia="仿宋" w:cs="仿宋"/>
                <w:szCs w:val="21"/>
              </w:rPr>
              <w:t>98%</w:t>
            </w:r>
          </w:p>
        </w:tc>
        <w:tc>
          <w:tcPr>
            <w:tcW w:w="2005" w:type="dxa"/>
            <w:gridSpan w:val="3"/>
            <w:tcBorders>
              <w:left w:val="single" w:color="auto" w:sz="4" w:space="0"/>
            </w:tcBorders>
            <w:vAlign w:val="center"/>
          </w:tcPr>
          <w:p>
            <w:pPr>
              <w:jc w:val="center"/>
              <w:rPr>
                <w:rFonts w:ascii="仿宋" w:hAnsi="仿宋" w:eastAsia="仿宋" w:cs="仿宋"/>
                <w:kern w:val="0"/>
                <w:szCs w:val="21"/>
              </w:rPr>
            </w:pPr>
            <w:r>
              <w:rPr>
                <w:rFonts w:hint="eastAsia" w:ascii="仿宋" w:hAnsi="仿宋" w:eastAsia="仿宋" w:cs="仿宋"/>
                <w:szCs w:val="21"/>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2" w:hRule="atLeast"/>
          <w:jc w:val="center"/>
        </w:trPr>
        <w:tc>
          <w:tcPr>
            <w:tcW w:w="3117" w:type="dxa"/>
            <w:gridSpan w:val="4"/>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绩效自评综合得分</w:t>
            </w:r>
          </w:p>
        </w:tc>
        <w:tc>
          <w:tcPr>
            <w:tcW w:w="6824" w:type="dxa"/>
            <w:gridSpan w:val="10"/>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评分：98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392" w:hRule="atLeast"/>
          <w:jc w:val="center"/>
        </w:trPr>
        <w:tc>
          <w:tcPr>
            <w:tcW w:w="3117" w:type="dxa"/>
            <w:gridSpan w:val="4"/>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评价等次</w:t>
            </w:r>
          </w:p>
        </w:tc>
        <w:tc>
          <w:tcPr>
            <w:tcW w:w="6824" w:type="dxa"/>
            <w:gridSpan w:val="10"/>
            <w:vAlign w:val="center"/>
          </w:tcPr>
          <w:p>
            <w:pPr>
              <w:spacing w:line="320" w:lineRule="exact"/>
              <w:jc w:val="center"/>
              <w:rPr>
                <w:rFonts w:ascii="仿宋" w:hAnsi="仿宋" w:eastAsia="仿宋" w:cs="仿宋"/>
                <w:szCs w:val="21"/>
              </w:rPr>
            </w:pPr>
            <w:r>
              <w:rPr>
                <w:rFonts w:hint="eastAsia" w:ascii="仿宋" w:hAnsi="仿宋" w:eastAsia="仿宋" w:cs="仿宋"/>
                <w:szCs w:val="21"/>
              </w:rPr>
              <w:t>等级：优</w:t>
            </w:r>
          </w:p>
          <w:p>
            <w:pPr>
              <w:autoSpaceDN w:val="0"/>
              <w:spacing w:line="320" w:lineRule="exact"/>
              <w:textAlignment w:val="center"/>
              <w:rPr>
                <w:rFonts w:ascii="仿宋" w:hAnsi="仿宋" w:eastAsia="仿宋" w:cs="仿宋"/>
                <w:szCs w:val="21"/>
              </w:rPr>
            </w:pPr>
            <w:r>
              <w:rPr>
                <w:rFonts w:hint="eastAsia" w:ascii="仿宋" w:hAnsi="仿宋" w:eastAsia="仿宋" w:cs="仿宋"/>
                <w:szCs w:val="21"/>
              </w:rPr>
              <w:t>备注：90（含）—100分为优；80（含）—90分为良； 60（含）—80 分为较差；60分以下为差。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9941" w:type="dxa"/>
            <w:gridSpan w:val="14"/>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b/>
                <w:bCs/>
                <w:sz w:val="24"/>
              </w:rPr>
              <w:t>四、评价人员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188"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姓  名</w:t>
            </w:r>
          </w:p>
        </w:tc>
        <w:tc>
          <w:tcPr>
            <w:tcW w:w="4477" w:type="dxa"/>
            <w:gridSpan w:val="7"/>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职务/职称</w:t>
            </w:r>
          </w:p>
        </w:tc>
        <w:tc>
          <w:tcPr>
            <w:tcW w:w="1575" w:type="dxa"/>
            <w:gridSpan w:val="2"/>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单  位</w:t>
            </w:r>
          </w:p>
        </w:tc>
        <w:tc>
          <w:tcPr>
            <w:tcW w:w="2701" w:type="dxa"/>
            <w:gridSpan w:val="4"/>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szCs w:val="21"/>
              </w:rPr>
              <w:t>签  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80" w:hRule="atLeast"/>
          <w:jc w:val="center"/>
        </w:trPr>
        <w:tc>
          <w:tcPr>
            <w:tcW w:w="1188"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kern w:val="0"/>
                <w:szCs w:val="21"/>
              </w:rPr>
              <w:t>饶碧宇</w:t>
            </w:r>
          </w:p>
        </w:tc>
        <w:tc>
          <w:tcPr>
            <w:tcW w:w="4477" w:type="dxa"/>
            <w:gridSpan w:val="7"/>
            <w:vAlign w:val="center"/>
          </w:tcPr>
          <w:p>
            <w:pPr>
              <w:autoSpaceDN w:val="0"/>
              <w:spacing w:line="320" w:lineRule="exact"/>
              <w:ind w:firstLine="218" w:firstLineChars="104"/>
              <w:jc w:val="left"/>
              <w:textAlignment w:val="center"/>
              <w:rPr>
                <w:rFonts w:ascii="仿宋" w:hAnsi="仿宋" w:eastAsia="仿宋" w:cs="仿宋"/>
                <w:szCs w:val="21"/>
              </w:rPr>
            </w:pPr>
            <w:r>
              <w:rPr>
                <w:rFonts w:hint="eastAsia" w:ascii="仿宋" w:hAnsi="仿宋" w:eastAsia="仿宋" w:cs="仿宋"/>
                <w:kern w:val="0"/>
                <w:szCs w:val="21"/>
              </w:rPr>
              <w:t>州发改委党组成员、优化办主任</w:t>
            </w:r>
          </w:p>
        </w:tc>
        <w:tc>
          <w:tcPr>
            <w:tcW w:w="1575" w:type="dxa"/>
            <w:gridSpan w:val="2"/>
            <w:vAlign w:val="center"/>
          </w:tcPr>
          <w:p>
            <w:pPr>
              <w:autoSpaceDN w:val="0"/>
              <w:spacing w:line="320" w:lineRule="exact"/>
              <w:jc w:val="center"/>
              <w:textAlignment w:val="center"/>
              <w:rPr>
                <w:rFonts w:ascii="仿宋" w:hAnsi="仿宋" w:eastAsia="仿宋" w:cs="仿宋"/>
                <w:szCs w:val="21"/>
              </w:rPr>
            </w:pPr>
            <w:bookmarkStart w:id="2" w:name="_Hlk75467515"/>
            <w:r>
              <w:rPr>
                <w:rFonts w:hint="eastAsia" w:ascii="仿宋" w:hAnsi="仿宋" w:eastAsia="仿宋" w:cs="仿宋"/>
                <w:kern w:val="0"/>
                <w:szCs w:val="21"/>
              </w:rPr>
              <w:t>湘西自治州发展和改革委员会</w:t>
            </w:r>
            <w:bookmarkEnd w:id="2"/>
          </w:p>
        </w:tc>
        <w:tc>
          <w:tcPr>
            <w:tcW w:w="2701" w:type="dxa"/>
            <w:gridSpan w:val="4"/>
            <w:vAlign w:val="center"/>
          </w:tcPr>
          <w:p>
            <w:pPr>
              <w:autoSpaceDN w:val="0"/>
              <w:spacing w:line="320" w:lineRule="exact"/>
              <w:jc w:val="center"/>
              <w:textAlignment w:val="center"/>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45" w:hRule="atLeast"/>
          <w:jc w:val="center"/>
        </w:trPr>
        <w:tc>
          <w:tcPr>
            <w:tcW w:w="1188" w:type="dxa"/>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kern w:val="0"/>
                <w:szCs w:val="21"/>
              </w:rPr>
              <w:t>熊  艺</w:t>
            </w:r>
          </w:p>
        </w:tc>
        <w:tc>
          <w:tcPr>
            <w:tcW w:w="4477" w:type="dxa"/>
            <w:gridSpan w:val="7"/>
            <w:vAlign w:val="center"/>
          </w:tcPr>
          <w:p>
            <w:pPr>
              <w:autoSpaceDN w:val="0"/>
              <w:spacing w:line="320" w:lineRule="exact"/>
              <w:ind w:firstLine="218" w:firstLineChars="104"/>
              <w:jc w:val="left"/>
              <w:textAlignment w:val="center"/>
              <w:rPr>
                <w:rFonts w:ascii="仿宋" w:hAnsi="仿宋" w:eastAsia="仿宋" w:cs="仿宋"/>
                <w:szCs w:val="21"/>
              </w:rPr>
            </w:pPr>
            <w:r>
              <w:rPr>
                <w:rFonts w:hint="eastAsia" w:ascii="仿宋" w:hAnsi="仿宋" w:eastAsia="仿宋" w:cs="仿宋"/>
                <w:szCs w:val="21"/>
              </w:rPr>
              <w:t>州发改委办公室主任</w:t>
            </w:r>
          </w:p>
        </w:tc>
        <w:tc>
          <w:tcPr>
            <w:tcW w:w="1575" w:type="dxa"/>
            <w:gridSpan w:val="2"/>
          </w:tcPr>
          <w:p>
            <w:pPr>
              <w:autoSpaceDN w:val="0"/>
              <w:spacing w:line="320" w:lineRule="exact"/>
              <w:jc w:val="center"/>
              <w:textAlignment w:val="center"/>
              <w:rPr>
                <w:rFonts w:ascii="仿宋" w:hAnsi="仿宋" w:eastAsia="仿宋" w:cs="仿宋"/>
                <w:szCs w:val="21"/>
              </w:rPr>
            </w:pPr>
            <w:r>
              <w:rPr>
                <w:rFonts w:hint="eastAsia" w:ascii="仿宋" w:hAnsi="仿宋" w:eastAsia="仿宋" w:cs="仿宋"/>
                <w:kern w:val="0"/>
                <w:szCs w:val="21"/>
              </w:rPr>
              <w:t>湘西自治州发展和改革委员会</w:t>
            </w:r>
          </w:p>
        </w:tc>
        <w:tc>
          <w:tcPr>
            <w:tcW w:w="2701" w:type="dxa"/>
            <w:gridSpan w:val="4"/>
          </w:tcPr>
          <w:p>
            <w:pPr>
              <w:autoSpaceDN w:val="0"/>
              <w:spacing w:line="320" w:lineRule="exact"/>
              <w:jc w:val="center"/>
              <w:textAlignment w:val="center"/>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45" w:hRule="atLeast"/>
          <w:jc w:val="center"/>
        </w:trPr>
        <w:tc>
          <w:tcPr>
            <w:tcW w:w="1188" w:type="dxa"/>
            <w:vAlign w:val="center"/>
          </w:tcPr>
          <w:p>
            <w:pPr>
              <w:autoSpaceDN w:val="0"/>
              <w:spacing w:line="320" w:lineRule="exact"/>
              <w:jc w:val="center"/>
              <w:textAlignment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罗刚平</w:t>
            </w:r>
          </w:p>
        </w:tc>
        <w:tc>
          <w:tcPr>
            <w:tcW w:w="4477" w:type="dxa"/>
            <w:gridSpan w:val="7"/>
            <w:vAlign w:val="center"/>
          </w:tcPr>
          <w:p>
            <w:pPr>
              <w:autoSpaceDN w:val="0"/>
              <w:spacing w:line="320" w:lineRule="exact"/>
              <w:ind w:firstLine="218" w:firstLineChars="104"/>
              <w:jc w:val="left"/>
              <w:textAlignment w:val="center"/>
              <w:rPr>
                <w:rFonts w:hint="default" w:ascii="仿宋" w:hAnsi="仿宋" w:eastAsia="仿宋" w:cs="仿宋"/>
                <w:szCs w:val="21"/>
                <w:lang w:val="en-US" w:eastAsia="zh-CN"/>
              </w:rPr>
            </w:pPr>
            <w:r>
              <w:rPr>
                <w:rFonts w:hint="eastAsia" w:ascii="仿宋" w:hAnsi="仿宋" w:eastAsia="仿宋" w:cs="仿宋"/>
                <w:szCs w:val="21"/>
              </w:rPr>
              <w:t>州发改委</w:t>
            </w:r>
            <w:r>
              <w:rPr>
                <w:rFonts w:hint="eastAsia" w:ascii="仿宋" w:hAnsi="仿宋" w:eastAsia="仿宋" w:cs="仿宋"/>
                <w:szCs w:val="21"/>
                <w:lang w:val="en-US" w:eastAsia="zh-CN"/>
              </w:rPr>
              <w:t>地区科科长</w:t>
            </w:r>
            <w:bookmarkStart w:id="22" w:name="_GoBack"/>
            <w:bookmarkEnd w:id="22"/>
          </w:p>
        </w:tc>
        <w:tc>
          <w:tcPr>
            <w:tcW w:w="1575" w:type="dxa"/>
            <w:gridSpan w:val="2"/>
          </w:tcPr>
          <w:p>
            <w:pPr>
              <w:autoSpaceDN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Cs w:val="21"/>
              </w:rPr>
              <w:t>湘西自治州发展和改革委员会</w:t>
            </w:r>
          </w:p>
        </w:tc>
        <w:tc>
          <w:tcPr>
            <w:tcW w:w="2701" w:type="dxa"/>
            <w:gridSpan w:val="4"/>
          </w:tcPr>
          <w:p>
            <w:pPr>
              <w:autoSpaceDN w:val="0"/>
              <w:spacing w:line="320" w:lineRule="exact"/>
              <w:jc w:val="center"/>
              <w:textAlignment w:val="center"/>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45" w:hRule="atLeast"/>
          <w:jc w:val="center"/>
        </w:trPr>
        <w:tc>
          <w:tcPr>
            <w:tcW w:w="1188" w:type="dxa"/>
            <w:vAlign w:val="center"/>
          </w:tcPr>
          <w:p>
            <w:pPr>
              <w:autoSpaceDN w:val="0"/>
              <w:spacing w:line="320" w:lineRule="exact"/>
              <w:jc w:val="center"/>
              <w:textAlignment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彭子铭</w:t>
            </w:r>
          </w:p>
        </w:tc>
        <w:tc>
          <w:tcPr>
            <w:tcW w:w="4477" w:type="dxa"/>
            <w:gridSpan w:val="7"/>
            <w:vAlign w:val="center"/>
          </w:tcPr>
          <w:p>
            <w:pPr>
              <w:autoSpaceDN w:val="0"/>
              <w:spacing w:line="320" w:lineRule="exact"/>
              <w:ind w:firstLine="218" w:firstLineChars="104"/>
              <w:jc w:val="left"/>
              <w:textAlignment w:val="center"/>
              <w:rPr>
                <w:rFonts w:hint="default" w:ascii="仿宋" w:hAnsi="仿宋" w:eastAsia="仿宋" w:cs="仿宋"/>
                <w:szCs w:val="21"/>
                <w:lang w:val="en-US" w:eastAsia="zh-CN"/>
              </w:rPr>
            </w:pPr>
            <w:r>
              <w:rPr>
                <w:rFonts w:hint="eastAsia" w:ascii="仿宋" w:hAnsi="仿宋" w:eastAsia="仿宋" w:cs="仿宋"/>
                <w:szCs w:val="21"/>
              </w:rPr>
              <w:t>州发改委</w:t>
            </w:r>
            <w:r>
              <w:rPr>
                <w:rFonts w:hint="eastAsia" w:ascii="仿宋" w:hAnsi="仿宋" w:eastAsia="仿宋" w:cs="仿宋"/>
                <w:szCs w:val="21"/>
                <w:lang w:val="en-US" w:eastAsia="zh-CN"/>
              </w:rPr>
              <w:t>西开办主任</w:t>
            </w:r>
          </w:p>
        </w:tc>
        <w:tc>
          <w:tcPr>
            <w:tcW w:w="1575" w:type="dxa"/>
            <w:gridSpan w:val="2"/>
          </w:tcPr>
          <w:p>
            <w:pPr>
              <w:autoSpaceDN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Cs w:val="21"/>
              </w:rPr>
              <w:t>湘西自治州发展和改革委员会</w:t>
            </w:r>
          </w:p>
        </w:tc>
        <w:tc>
          <w:tcPr>
            <w:tcW w:w="2701" w:type="dxa"/>
            <w:gridSpan w:val="4"/>
          </w:tcPr>
          <w:p>
            <w:pPr>
              <w:autoSpaceDN w:val="0"/>
              <w:spacing w:line="320" w:lineRule="exact"/>
              <w:jc w:val="center"/>
              <w:textAlignment w:val="center"/>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5" w:hRule="atLeast"/>
          <w:jc w:val="center"/>
        </w:trPr>
        <w:tc>
          <w:tcPr>
            <w:tcW w:w="1188" w:type="dxa"/>
            <w:vAlign w:val="center"/>
          </w:tcPr>
          <w:p>
            <w:pPr>
              <w:autoSpaceDN w:val="0"/>
              <w:spacing w:line="320" w:lineRule="exact"/>
              <w:ind w:firstLine="210" w:firstLineChars="100"/>
              <w:textAlignment w:val="center"/>
              <w:rPr>
                <w:rFonts w:ascii="仿宋" w:hAnsi="仿宋" w:eastAsia="仿宋" w:cs="仿宋"/>
                <w:szCs w:val="21"/>
              </w:rPr>
            </w:pPr>
            <w:r>
              <w:rPr>
                <w:rFonts w:hint="eastAsia" w:ascii="仿宋" w:hAnsi="仿宋" w:eastAsia="仿宋" w:cs="仿宋"/>
                <w:kern w:val="0"/>
                <w:szCs w:val="21"/>
              </w:rPr>
              <w:t>刘  龙</w:t>
            </w:r>
          </w:p>
        </w:tc>
        <w:tc>
          <w:tcPr>
            <w:tcW w:w="4477" w:type="dxa"/>
            <w:gridSpan w:val="7"/>
            <w:vAlign w:val="center"/>
          </w:tcPr>
          <w:p>
            <w:pPr>
              <w:autoSpaceDN w:val="0"/>
              <w:spacing w:line="320" w:lineRule="exact"/>
              <w:ind w:firstLine="218" w:firstLineChars="104"/>
              <w:jc w:val="left"/>
              <w:textAlignment w:val="center"/>
              <w:rPr>
                <w:rFonts w:ascii="仿宋" w:hAnsi="仿宋" w:eastAsia="仿宋" w:cs="仿宋"/>
                <w:szCs w:val="21"/>
              </w:rPr>
            </w:pPr>
            <w:r>
              <w:rPr>
                <w:rFonts w:hint="eastAsia" w:ascii="仿宋" w:hAnsi="仿宋" w:eastAsia="仿宋" w:cs="仿宋"/>
                <w:kern w:val="0"/>
                <w:szCs w:val="21"/>
              </w:rPr>
              <w:t>财务室会计</w:t>
            </w:r>
          </w:p>
        </w:tc>
        <w:tc>
          <w:tcPr>
            <w:tcW w:w="1575" w:type="dxa"/>
            <w:gridSpan w:val="2"/>
            <w:vAlign w:val="center"/>
          </w:tcPr>
          <w:p>
            <w:pPr>
              <w:autoSpaceDN w:val="0"/>
              <w:spacing w:line="320" w:lineRule="exact"/>
              <w:jc w:val="center"/>
              <w:textAlignment w:val="center"/>
              <w:rPr>
                <w:rFonts w:ascii="仿宋" w:hAnsi="仿宋" w:eastAsia="仿宋" w:cs="仿宋"/>
                <w:szCs w:val="21"/>
              </w:rPr>
            </w:pPr>
            <w:r>
              <w:rPr>
                <w:rFonts w:hint="eastAsia" w:ascii="仿宋" w:hAnsi="仿宋" w:eastAsia="仿宋" w:cs="仿宋"/>
                <w:kern w:val="0"/>
                <w:szCs w:val="21"/>
              </w:rPr>
              <w:t>湘西自治州发展和改革委员会</w:t>
            </w:r>
          </w:p>
        </w:tc>
        <w:tc>
          <w:tcPr>
            <w:tcW w:w="2701" w:type="dxa"/>
            <w:gridSpan w:val="4"/>
            <w:vAlign w:val="center"/>
          </w:tcPr>
          <w:p>
            <w:pPr>
              <w:autoSpaceDN w:val="0"/>
              <w:spacing w:line="320" w:lineRule="exact"/>
              <w:jc w:val="center"/>
              <w:textAlignment w:val="center"/>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 w:hRule="atLeast"/>
          <w:jc w:val="center"/>
        </w:trPr>
        <w:tc>
          <w:tcPr>
            <w:tcW w:w="9941" w:type="dxa"/>
            <w:gridSpan w:val="14"/>
            <w:vAlign w:val="center"/>
          </w:tcPr>
          <w:p>
            <w:pPr>
              <w:autoSpaceDN w:val="0"/>
              <w:spacing w:line="320" w:lineRule="exact"/>
              <w:jc w:val="left"/>
              <w:textAlignment w:val="center"/>
              <w:rPr>
                <w:rFonts w:ascii="仿宋" w:hAnsi="仿宋" w:eastAsia="仿宋" w:cs="仿宋"/>
                <w:szCs w:val="21"/>
              </w:rPr>
            </w:pPr>
          </w:p>
          <w:p>
            <w:pPr>
              <w:autoSpaceDN w:val="0"/>
              <w:spacing w:line="320" w:lineRule="exact"/>
              <w:ind w:firstLine="210" w:firstLineChars="100"/>
              <w:jc w:val="left"/>
              <w:textAlignment w:val="center"/>
              <w:rPr>
                <w:rFonts w:ascii="仿宋" w:hAnsi="仿宋" w:eastAsia="仿宋" w:cs="仿宋"/>
                <w:szCs w:val="21"/>
              </w:rPr>
            </w:pPr>
            <w:r>
              <w:rPr>
                <w:rFonts w:hint="eastAsia" w:ascii="仿宋" w:hAnsi="仿宋" w:eastAsia="仿宋" w:cs="仿宋"/>
                <w:szCs w:val="21"/>
              </w:rPr>
              <w:t>评价组组长签署意见：</w:t>
            </w:r>
          </w:p>
          <w:p>
            <w:pPr>
              <w:autoSpaceDN w:val="0"/>
              <w:spacing w:line="320" w:lineRule="exact"/>
              <w:jc w:val="left"/>
              <w:textAlignment w:val="center"/>
              <w:rPr>
                <w:rFonts w:ascii="仿宋" w:hAnsi="仿宋" w:eastAsia="仿宋" w:cs="仿宋"/>
                <w:szCs w:val="21"/>
              </w:rPr>
            </w:pPr>
          </w:p>
          <w:p>
            <w:pPr>
              <w:autoSpaceDN w:val="0"/>
              <w:spacing w:line="320" w:lineRule="exact"/>
              <w:jc w:val="left"/>
              <w:textAlignment w:val="center"/>
              <w:rPr>
                <w:rFonts w:ascii="仿宋" w:hAnsi="仿宋" w:eastAsia="仿宋" w:cs="仿宋"/>
                <w:szCs w:val="21"/>
              </w:rPr>
            </w:pPr>
          </w:p>
          <w:p>
            <w:pPr>
              <w:autoSpaceDN w:val="0"/>
              <w:spacing w:line="320" w:lineRule="exact"/>
              <w:ind w:firstLine="4620" w:firstLineChars="2200"/>
              <w:jc w:val="left"/>
              <w:textAlignment w:val="center"/>
              <w:rPr>
                <w:rFonts w:ascii="仿宋" w:hAnsi="仿宋" w:eastAsia="仿宋" w:cs="仿宋"/>
                <w:szCs w:val="21"/>
              </w:rPr>
            </w:pPr>
            <w:r>
              <w:rPr>
                <w:rFonts w:hint="eastAsia" w:ascii="仿宋" w:hAnsi="仿宋" w:eastAsia="仿宋" w:cs="仿宋"/>
                <w:szCs w:val="21"/>
              </w:rPr>
              <w:t>评价组组长（签字）：</w:t>
            </w:r>
          </w:p>
          <w:p>
            <w:pPr>
              <w:autoSpaceDN w:val="0"/>
              <w:spacing w:line="320" w:lineRule="exact"/>
              <w:jc w:val="left"/>
              <w:textAlignment w:val="center"/>
              <w:rPr>
                <w:rFonts w:ascii="仿宋" w:hAnsi="仿宋" w:eastAsia="仿宋" w:cs="仿宋"/>
                <w:szCs w:val="21"/>
              </w:rPr>
            </w:pPr>
          </w:p>
          <w:p>
            <w:pPr>
              <w:autoSpaceDN w:val="0"/>
              <w:spacing w:line="320" w:lineRule="exact"/>
              <w:jc w:val="left"/>
              <w:textAlignment w:val="center"/>
              <w:rPr>
                <w:rFonts w:ascii="仿宋" w:hAnsi="仿宋" w:eastAsia="仿宋" w:cs="仿宋"/>
                <w:szCs w:val="21"/>
              </w:rPr>
            </w:pPr>
            <w:r>
              <w:rPr>
                <w:rFonts w:hint="eastAsia" w:ascii="仿宋" w:hAnsi="仿宋" w:eastAsia="仿宋" w:cs="仿宋"/>
                <w:szCs w:val="21"/>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722" w:hRule="atLeast"/>
          <w:jc w:val="center"/>
        </w:trPr>
        <w:tc>
          <w:tcPr>
            <w:tcW w:w="9941" w:type="dxa"/>
            <w:gridSpan w:val="14"/>
            <w:vAlign w:val="center"/>
          </w:tcPr>
          <w:p>
            <w:pPr>
              <w:autoSpaceDN w:val="0"/>
              <w:spacing w:line="320" w:lineRule="exact"/>
              <w:ind w:firstLine="210" w:firstLineChars="100"/>
              <w:jc w:val="left"/>
              <w:textAlignment w:val="center"/>
              <w:rPr>
                <w:rFonts w:ascii="仿宋" w:hAnsi="仿宋" w:eastAsia="仿宋" w:cs="仿宋"/>
                <w:szCs w:val="21"/>
              </w:rPr>
            </w:pPr>
            <w:r>
              <w:rPr>
                <w:rFonts w:hint="eastAsia" w:ascii="仿宋" w:hAnsi="仿宋" w:eastAsia="仿宋" w:cs="仿宋"/>
                <w:szCs w:val="21"/>
              </w:rPr>
              <w:t>部门（单位）意见：</w:t>
            </w:r>
          </w:p>
          <w:p>
            <w:pPr>
              <w:autoSpaceDN w:val="0"/>
              <w:spacing w:line="320" w:lineRule="exact"/>
              <w:jc w:val="left"/>
              <w:textAlignment w:val="center"/>
              <w:rPr>
                <w:rFonts w:ascii="仿宋" w:hAnsi="仿宋" w:eastAsia="仿宋" w:cs="仿宋"/>
                <w:szCs w:val="21"/>
              </w:rPr>
            </w:pPr>
          </w:p>
          <w:p>
            <w:pPr>
              <w:autoSpaceDN w:val="0"/>
              <w:spacing w:line="320" w:lineRule="exact"/>
              <w:jc w:val="left"/>
              <w:textAlignment w:val="center"/>
              <w:rPr>
                <w:rFonts w:ascii="仿宋" w:hAnsi="仿宋" w:eastAsia="仿宋" w:cs="仿宋"/>
                <w:szCs w:val="21"/>
              </w:rPr>
            </w:pPr>
          </w:p>
          <w:p>
            <w:pPr>
              <w:autoSpaceDN w:val="0"/>
              <w:spacing w:line="320" w:lineRule="exact"/>
              <w:jc w:val="left"/>
              <w:textAlignment w:val="center"/>
              <w:rPr>
                <w:rFonts w:ascii="仿宋" w:hAnsi="仿宋" w:eastAsia="仿宋" w:cs="仿宋"/>
                <w:szCs w:val="21"/>
              </w:rPr>
            </w:pPr>
          </w:p>
          <w:p>
            <w:pPr>
              <w:autoSpaceDN w:val="0"/>
              <w:spacing w:line="320" w:lineRule="exact"/>
              <w:jc w:val="left"/>
              <w:textAlignment w:val="center"/>
              <w:rPr>
                <w:rFonts w:ascii="仿宋" w:hAnsi="仿宋" w:eastAsia="仿宋" w:cs="仿宋"/>
                <w:szCs w:val="21"/>
              </w:rPr>
            </w:pPr>
          </w:p>
          <w:p>
            <w:pPr>
              <w:autoSpaceDN w:val="0"/>
              <w:spacing w:line="320" w:lineRule="exact"/>
              <w:jc w:val="left"/>
              <w:textAlignment w:val="center"/>
              <w:rPr>
                <w:rFonts w:ascii="仿宋" w:hAnsi="仿宋" w:eastAsia="仿宋" w:cs="仿宋"/>
                <w:szCs w:val="21"/>
              </w:rPr>
            </w:pPr>
            <w:r>
              <w:rPr>
                <w:rFonts w:hint="eastAsia" w:ascii="仿宋" w:hAnsi="仿宋" w:eastAsia="仿宋" w:cs="仿宋"/>
                <w:szCs w:val="21"/>
              </w:rPr>
              <w:t xml:space="preserve">  部门（单位）负责人（签字）：               部门（单位）（盖章）：</w:t>
            </w:r>
          </w:p>
          <w:p>
            <w:pPr>
              <w:autoSpaceDN w:val="0"/>
              <w:spacing w:line="320" w:lineRule="exact"/>
              <w:jc w:val="left"/>
              <w:textAlignment w:val="center"/>
              <w:rPr>
                <w:rFonts w:ascii="仿宋" w:hAnsi="仿宋" w:eastAsia="仿宋" w:cs="仿宋"/>
                <w:szCs w:val="21"/>
              </w:rPr>
            </w:pPr>
          </w:p>
          <w:p>
            <w:pPr>
              <w:autoSpaceDN w:val="0"/>
              <w:spacing w:line="320" w:lineRule="exact"/>
              <w:jc w:val="left"/>
              <w:textAlignment w:val="center"/>
              <w:rPr>
                <w:rFonts w:ascii="仿宋" w:hAnsi="仿宋" w:eastAsia="仿宋" w:cs="仿宋"/>
                <w:szCs w:val="21"/>
              </w:rPr>
            </w:pPr>
            <w:r>
              <w:rPr>
                <w:rFonts w:hint="eastAsia" w:ascii="仿宋" w:hAnsi="仿宋" w:eastAsia="仿宋" w:cs="仿宋"/>
                <w:szCs w:val="21"/>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794" w:hRule="atLeast"/>
          <w:jc w:val="center"/>
        </w:trPr>
        <w:tc>
          <w:tcPr>
            <w:tcW w:w="9941" w:type="dxa"/>
            <w:gridSpan w:val="14"/>
            <w:vAlign w:val="center"/>
          </w:tcPr>
          <w:p>
            <w:pPr>
              <w:spacing w:line="320" w:lineRule="exact"/>
              <w:ind w:firstLine="210" w:firstLineChars="100"/>
              <w:rPr>
                <w:rFonts w:ascii="仿宋" w:hAnsi="仿宋" w:eastAsia="仿宋" w:cs="仿宋"/>
                <w:szCs w:val="21"/>
              </w:rPr>
            </w:pPr>
            <w:r>
              <w:rPr>
                <w:rFonts w:hint="eastAsia" w:ascii="仿宋" w:hAnsi="仿宋" w:eastAsia="仿宋" w:cs="仿宋"/>
                <w:szCs w:val="21"/>
              </w:rPr>
              <w:t>财政部门归口业务科室意见：</w:t>
            </w:r>
          </w:p>
          <w:p>
            <w:pPr>
              <w:spacing w:line="320" w:lineRule="exact"/>
              <w:rPr>
                <w:rFonts w:ascii="仿宋" w:hAnsi="仿宋" w:eastAsia="仿宋" w:cs="仿宋"/>
                <w:szCs w:val="21"/>
              </w:rPr>
            </w:pPr>
          </w:p>
          <w:p>
            <w:pPr>
              <w:spacing w:line="320" w:lineRule="exact"/>
              <w:rPr>
                <w:rFonts w:ascii="仿宋" w:hAnsi="仿宋" w:eastAsia="仿宋" w:cs="仿宋"/>
                <w:szCs w:val="21"/>
              </w:rPr>
            </w:pPr>
          </w:p>
          <w:p>
            <w:pPr>
              <w:spacing w:line="320" w:lineRule="exact"/>
              <w:rPr>
                <w:rFonts w:ascii="仿宋" w:hAnsi="仿宋" w:eastAsia="仿宋" w:cs="仿宋"/>
                <w:szCs w:val="21"/>
              </w:rPr>
            </w:pPr>
          </w:p>
          <w:p>
            <w:pPr>
              <w:spacing w:line="320" w:lineRule="exact"/>
              <w:rPr>
                <w:rFonts w:ascii="仿宋" w:hAnsi="仿宋" w:eastAsia="仿宋" w:cs="仿宋"/>
                <w:szCs w:val="21"/>
              </w:rPr>
            </w:pPr>
          </w:p>
          <w:p>
            <w:pPr>
              <w:spacing w:line="320" w:lineRule="exact"/>
              <w:rPr>
                <w:rFonts w:ascii="仿宋" w:hAnsi="仿宋" w:eastAsia="仿宋" w:cs="仿宋"/>
                <w:szCs w:val="21"/>
              </w:rPr>
            </w:pPr>
            <w:r>
              <w:rPr>
                <w:rFonts w:hint="eastAsia" w:ascii="仿宋" w:hAnsi="仿宋" w:eastAsia="仿宋" w:cs="仿宋"/>
                <w:szCs w:val="21"/>
              </w:rPr>
              <w:t xml:space="preserve">  财政部门归口业务科室负责人（签字）：       财政部门归口业务科室（盖章）：</w:t>
            </w:r>
          </w:p>
          <w:p>
            <w:pPr>
              <w:autoSpaceDN w:val="0"/>
              <w:spacing w:line="320" w:lineRule="exact"/>
              <w:jc w:val="left"/>
              <w:textAlignment w:val="center"/>
              <w:rPr>
                <w:rFonts w:ascii="仿宋" w:hAnsi="仿宋" w:eastAsia="仿宋" w:cs="仿宋"/>
                <w:szCs w:val="21"/>
              </w:rPr>
            </w:pPr>
            <w:r>
              <w:rPr>
                <w:rFonts w:hint="eastAsia" w:ascii="仿宋" w:hAnsi="仿宋" w:eastAsia="仿宋" w:cs="仿宋"/>
                <w:szCs w:val="21"/>
              </w:rPr>
              <w:t xml:space="preserve">                                                                 </w:t>
            </w:r>
          </w:p>
          <w:p>
            <w:pPr>
              <w:autoSpaceDN w:val="0"/>
              <w:spacing w:line="320" w:lineRule="exact"/>
              <w:ind w:firstLine="6510" w:firstLineChars="3100"/>
              <w:jc w:val="left"/>
              <w:textAlignment w:val="center"/>
              <w:rPr>
                <w:rFonts w:ascii="仿宋" w:hAnsi="仿宋" w:eastAsia="仿宋" w:cs="仿宋"/>
                <w:szCs w:val="21"/>
              </w:rPr>
            </w:pPr>
            <w:r>
              <w:rPr>
                <w:rFonts w:hint="eastAsia" w:ascii="仿宋" w:hAnsi="仿宋" w:eastAsia="仿宋" w:cs="仿宋"/>
                <w:szCs w:val="21"/>
              </w:rPr>
              <w:t>年    月   日</w:t>
            </w:r>
          </w:p>
        </w:tc>
      </w:tr>
    </w:tbl>
    <w:tbl>
      <w:tblPr>
        <w:tblStyle w:val="8"/>
        <w:tblpPr w:leftFromText="180" w:rightFromText="180" w:vertAnchor="text" w:tblpX="10483" w:tblpY="-327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946" w:type="dxa"/>
          </w:tcPr>
          <w:p>
            <w:pPr>
              <w:spacing w:line="560" w:lineRule="exact"/>
              <w:jc w:val="center"/>
              <w:rPr>
                <w:rFonts w:ascii="宋体" w:hAnsi="宋体" w:cs="宋体"/>
                <w:sz w:val="24"/>
              </w:rPr>
            </w:pPr>
          </w:p>
        </w:tc>
      </w:tr>
    </w:tbl>
    <w:p>
      <w:pPr>
        <w:spacing w:line="578" w:lineRule="atLeast"/>
        <w:rPr>
          <w:rFonts w:ascii="宋体" w:hAnsi="宋体" w:cs="宋体"/>
          <w:b/>
          <w:sz w:val="24"/>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2"/>
          <w:szCs w:val="32"/>
        </w:rPr>
      </w:pPr>
    </w:p>
    <w:p>
      <w:pPr>
        <w:spacing w:line="578" w:lineRule="atLeast"/>
        <w:jc w:val="center"/>
        <w:rPr>
          <w:rFonts w:ascii="宋体" w:hAnsi="宋体" w:cs="宋体"/>
          <w:b/>
          <w:sz w:val="36"/>
          <w:szCs w:val="36"/>
        </w:rPr>
      </w:pPr>
      <w:r>
        <w:rPr>
          <w:rFonts w:hint="eastAsia" w:ascii="宋体" w:hAnsi="宋体" w:cs="宋体"/>
          <w:b/>
          <w:sz w:val="36"/>
          <w:szCs w:val="36"/>
        </w:rPr>
        <w:t xml:space="preserve">湘西自治州发展和改革委员会 </w:t>
      </w:r>
    </w:p>
    <w:p>
      <w:pPr>
        <w:spacing w:line="578" w:lineRule="atLeast"/>
        <w:jc w:val="center"/>
        <w:rPr>
          <w:rFonts w:ascii="宋体" w:hAnsi="宋体" w:cs="宋体"/>
          <w:b/>
          <w:sz w:val="36"/>
          <w:szCs w:val="36"/>
        </w:rPr>
      </w:pPr>
      <w:r>
        <w:rPr>
          <w:rFonts w:hint="eastAsia" w:ascii="宋体" w:hAnsi="宋体" w:cs="宋体"/>
          <w:b/>
          <w:sz w:val="36"/>
          <w:szCs w:val="36"/>
        </w:rPr>
        <w:t>2020年度部门整体支出绩效评价报告</w:t>
      </w:r>
    </w:p>
    <w:p>
      <w:pPr>
        <w:spacing w:line="600" w:lineRule="exact"/>
        <w:jc w:val="left"/>
        <w:rPr>
          <w:rFonts w:ascii="宋体" w:hAnsi="宋体" w:cs="宋体"/>
          <w:sz w:val="32"/>
          <w:szCs w:val="32"/>
          <w:highlight w:val="yellow"/>
        </w:rPr>
      </w:pPr>
    </w:p>
    <w:p>
      <w:pPr>
        <w:spacing w:line="600" w:lineRule="exact"/>
        <w:ind w:firstLine="220" w:firstLineChars="73"/>
        <w:rPr>
          <w:rFonts w:ascii="仿宋" w:hAnsi="仿宋" w:eastAsia="仿宋" w:cs="仿宋"/>
          <w:b/>
          <w:bCs/>
          <w:sz w:val="30"/>
          <w:szCs w:val="30"/>
        </w:rPr>
      </w:pPr>
      <w:r>
        <w:rPr>
          <w:rFonts w:hint="eastAsia" w:ascii="仿宋" w:hAnsi="仿宋" w:eastAsia="仿宋" w:cs="仿宋"/>
          <w:b/>
          <w:bCs/>
          <w:sz w:val="30"/>
          <w:szCs w:val="30"/>
        </w:rPr>
        <w:t>一、基本情况</w:t>
      </w:r>
    </w:p>
    <w:p>
      <w:pPr>
        <w:pStyle w:val="14"/>
        <w:widowControl/>
        <w:spacing w:line="540" w:lineRule="exact"/>
        <w:ind w:firstLine="301" w:firstLineChars="100"/>
        <w:rPr>
          <w:rFonts w:ascii="仿宋" w:hAnsi="仿宋" w:eastAsia="仿宋" w:cs="仿宋"/>
          <w:b/>
          <w:bCs/>
          <w:sz w:val="30"/>
          <w:szCs w:val="30"/>
        </w:rPr>
      </w:pPr>
      <w:r>
        <w:rPr>
          <w:rFonts w:hint="eastAsia" w:ascii="仿宋" w:hAnsi="仿宋" w:eastAsia="仿宋" w:cs="仿宋"/>
          <w:b/>
          <w:bCs/>
          <w:sz w:val="30"/>
          <w:szCs w:val="30"/>
        </w:rPr>
        <w:t>（一）</w:t>
      </w:r>
      <w:bookmarkStart w:id="3" w:name="_Hlk40300346"/>
      <w:r>
        <w:rPr>
          <w:rFonts w:hint="eastAsia" w:ascii="仿宋" w:hAnsi="仿宋" w:eastAsia="仿宋" w:cs="仿宋"/>
          <w:b/>
          <w:bCs/>
          <w:sz w:val="30"/>
          <w:szCs w:val="30"/>
        </w:rPr>
        <w:t>部门基本情况</w:t>
      </w:r>
      <w:bookmarkEnd w:id="3"/>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1.1部门基本情况</w:t>
      </w:r>
    </w:p>
    <w:p>
      <w:pPr>
        <w:spacing w:before="183" w:beforeLines="50" w:line="540" w:lineRule="exact"/>
        <w:ind w:firstLine="560" w:firstLineChars="200"/>
        <w:rPr>
          <w:rFonts w:ascii="仿宋" w:hAnsi="仿宋" w:eastAsia="仿宋" w:cs="仿宋"/>
          <w:sz w:val="28"/>
          <w:szCs w:val="28"/>
        </w:rPr>
      </w:pPr>
      <w:bookmarkStart w:id="4" w:name="_Toc2195"/>
      <w:r>
        <w:rPr>
          <w:rFonts w:hint="eastAsia" w:ascii="仿宋" w:hAnsi="仿宋" w:eastAsia="仿宋" w:cs="仿宋"/>
          <w:bCs/>
          <w:sz w:val="28"/>
          <w:szCs w:val="28"/>
        </w:rPr>
        <w:t>湘西自治州发展与改革委员会为州人民政府工作部门，单位住所在吉首市人民北路58号，统一信用代码证号为11433100006686146P。2020年，本单位决算包括发改委机关及州重点办、州节能中心、州价格监督检查局、州价格成本调查队、州价格认证中心、州政府评审中心6家二级机构。本单位机关内设科室包括办公室、发展规划综合科、法规科、经济体制改革科、地区经济科、固定资产投资科、经济贸易与财政金融科、农村经济科、基础设施科等20个科室。</w:t>
      </w:r>
      <w:r>
        <w:rPr>
          <w:rFonts w:hint="eastAsia" w:ascii="仿宋" w:hAnsi="仿宋" w:eastAsia="仿宋" w:cs="仿宋"/>
          <w:sz w:val="28"/>
          <w:szCs w:val="28"/>
        </w:rPr>
        <w:t>截止2020年12月31日</w:t>
      </w:r>
      <w:r>
        <w:rPr>
          <w:rFonts w:hint="eastAsia" w:ascii="仿宋" w:hAnsi="仿宋" w:eastAsia="仿宋" w:cs="仿宋"/>
          <w:color w:val="FF0000"/>
          <w:sz w:val="28"/>
          <w:szCs w:val="28"/>
        </w:rPr>
        <w:t>，</w:t>
      </w:r>
      <w:r>
        <w:rPr>
          <w:rFonts w:hint="eastAsia" w:ascii="仿宋" w:hAnsi="仿宋" w:eastAsia="仿宋" w:cs="仿宋"/>
          <w:sz w:val="28"/>
          <w:szCs w:val="28"/>
        </w:rPr>
        <w:t>本部门经州编委核定的在职编制人数为106人，其中：行政机关人员60人，事业编制人员46人。年末实有在职人员93人（行政人员54人、非参照公务员法管理事业编制人员39人）。</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1.2部门</w:t>
      </w:r>
      <w:bookmarkEnd w:id="4"/>
      <w:r>
        <w:rPr>
          <w:rFonts w:hint="eastAsia" w:ascii="仿宋" w:hAnsi="仿宋" w:eastAsia="仿宋" w:cs="仿宋"/>
          <w:b/>
          <w:bCs/>
          <w:sz w:val="30"/>
          <w:szCs w:val="30"/>
        </w:rPr>
        <w:t>职责</w:t>
      </w:r>
    </w:p>
    <w:p>
      <w:pPr>
        <w:spacing w:before="183" w:beforeLines="50" w:line="54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1）拟订并组织实施全州国民经济和社会发展战略、中长期规划和年度计划，统筹协调相关总体规划、区域规划与专项规划；提出全州国民经济发展、价格总水平调控和优化重大经济结构的目标、政策，提出综合运用各种经济手段和政策的建议，受州人民政府委托向州人民代表大会提交国民经济和社会发展计划的报告。</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（2）研究全州宏观经济运行、总量平衡、经济安全和总体产业安全等重要问题并提出宏观调控政策建议，协调解决经济运行中的重大问题，调节国民经济运行。</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（3）汇总社会资金总体运行情况，参与制定财政、金融、土地政策，并综合分析政策执行效果；会同有关部门完善宏观调控协调机制，统筹推进产业、创业等投资基金的发展和制度建设。</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4）指导推进和综合协调全州经济体制改革，研究全州经济体制改革和对外开放重大问题；组织拟订综合性经济体制改革方案，协调有关专项改革方案，会同有关部门搞好专项改革之间的衔接；指导经济体制改革试点和改革试验区工作，参与协调推进“两型”社会建设综合配套改革试验区工作。</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5）拟订全州全社会固定资产投资总规模和投资结构的调控目标、政策及措施；统筹安排州级财政性建设资金和投资项目，编制下达政府投资年度计划；规划全州重大建设项目和生产力布局，按规定权限审批、核准、审核、备案跨地区、跨行业、跨领域和涉及综合平衡、重大布局的重大建设项目、外资项目、境外投资项目；研究提出全州利用外资和境外投资的战略、规划、总量平衡和结构优化的目标和政策；指导和监督国外贷款建设资金的使用，引导民间投资方向；牵头组织编制重特大自然灾害的灾后恢复重建规划，协调有关重大问题；研究提出州重点建设项目计划；负责政府投资项目代建制实施的指导、协调和监督管理；指导工程咨询业发展。</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6）组织拟订综合性产业政策，负责协调第一、二、三产业发展的重大问题并衔接平衡相关发展规划和重大政策，负责综合交通运输体系规划与国民经济和社会发展规划的衔接平衡；协调农业和农村经济社会发展的重大问题；负责制定发展战略性新兴产业规划，研究提出新型工业化和产业集群发展的政策措施；会同有关部门研究拟订高新技术产业、服务业发展规划和重大政策，实施高新技术产业发展的宏观指导，协调解决重大技术装备推广应用等方面的重大问题。</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7）贯彻落实国家西部开发、中部崛起、长江经济带开发建设、武陵山片区的政策措施；组织编制跨县市城市群规划，并协调实施；参与制定统筹促进湘西地区开发、武陵山片区和老少边穷地区加快发展的战略、规划和重大政策，拟订并组织实施全州以工代赈规划和计划；参与研究拟订全州城镇化发展战略和重大政策措施；制定开发园区发展规划和政策；统筹协调区域合作。</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8）承担重要商品总量平衡和宏观调控，编制重要农产品、工业品和原材料进出口总量平衡计划并监督执行，根据经济运行情况对计划进行调整；牵头负责全州物流发展工作，拟订现代物流业发展战略、规划，协调物流业发展重大布局。</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9）负责社会发展与国民经济发展的政策衔接；组织拟订社会发展战略、总体规划和年度计划。拟订人口发展战略、规划及人口政策；参与拟订科学技术、教育、文化、卫生、民政等发展政策；统筹推进基本公共服务体系建设和收入分配制度改革；研究提出促进就业、完善社会保障与经济协调发展的政策建议；协调社会事业发展和改革中的重大问题及政策；参与推进深化医药卫生体制改革工作。</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10）研究分析经济社会与资源、环境协调发展的重大问题，研究提出能源消费总量控制目标的建议，牵头拟订能源消费总量控制工作方案，并组织实施；拟定煤炭工业发展规划和管理；负责组织拟订发展循环经济、能源资源节约和综合利用规划、政策，并协调实施；参与编制生态文明建设、环境保护规划，协调生态建设、能源资源节约和综合利用的重大问题，综合协调提出建立健全生态补偿机制的政策措施；综合协调节能环保产业和清洁生产促进有关工作；完善固定资产投资项目节能评估和审查制度。</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11）编制和执行全州价格改革规划，拟订并组织实施价格政策；监测、分析市场价格形势，组织实施价格总水平调控；管理国家、省列名管理的商品和服务价格，监管实行市场调节价的商品和服务价格，承担行政事业性收费管理工作；组织实施价格调节基金政策，依法对重大自然灾害和特殊时期实施临时价格干预措施，负责价格公共服务工作；负责价格成本调查和监审。</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（12）研究制定推进社会信用体系建设的法规、规划、政策措施，统筹推进统一的信用信息平台建设，促进信用信息资源的整合与运用，协调社会信用体系建设的重大问题。</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（13）研究拟订推进经济建设与国防建设协调发展的战略和规划，协调有关重大问题。组织编制全州国民经济动员和装备动员规划、计划，并组织实施有关工作。</w:t>
      </w:r>
    </w:p>
    <w:p>
      <w:pPr>
        <w:spacing w:before="183" w:beforeLines="50"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（14）承担州公共资源交易管理委员会办公室工作职责。</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1.3  2020年重点工作任务</w:t>
      </w:r>
    </w:p>
    <w:p>
      <w:pPr>
        <w:spacing w:before="183" w:beforeLines="50" w:line="540" w:lineRule="exact"/>
        <w:ind w:firstLine="560" w:firstLineChars="200"/>
        <w:rPr>
          <w:rFonts w:ascii="仿宋" w:hAnsi="仿宋" w:eastAsia="仿宋" w:cs="仿宋"/>
          <w:b w:val="0"/>
          <w:bCs/>
          <w:sz w:val="28"/>
          <w:szCs w:val="28"/>
        </w:rPr>
      </w:pPr>
      <w:r>
        <w:rPr>
          <w:rFonts w:hint="eastAsia" w:ascii="仿宋" w:hAnsi="仿宋" w:eastAsia="仿宋" w:cs="仿宋"/>
          <w:b w:val="0"/>
          <w:bCs/>
          <w:sz w:val="28"/>
          <w:szCs w:val="28"/>
        </w:rPr>
        <w:t>本年度，全州发改系统在州委州政府的坚强领导下，在省发改委的关心支持下，团结一致，紧盯中央、省、州决策部署，坚持一手抓疫情防控、一手抓经济发展，采取有力措施，坚守工作激情、主动作为、担当实干，做了大量卓有成效的工作，为全州各项发展改革任务的顺利推进贡献了发改力量。</w:t>
      </w:r>
    </w:p>
    <w:p>
      <w:pPr>
        <w:spacing w:before="183" w:beforeLines="50" w:line="540" w:lineRule="exact"/>
        <w:ind w:firstLine="560" w:firstLineChars="200"/>
        <w:rPr>
          <w:rFonts w:ascii="仿宋" w:hAnsi="仿宋" w:eastAsia="仿宋" w:cs="仿宋"/>
          <w:b w:val="0"/>
          <w:bCs/>
          <w:sz w:val="28"/>
          <w:szCs w:val="28"/>
        </w:rPr>
      </w:pPr>
      <w:r>
        <w:rPr>
          <w:rFonts w:hint="eastAsia" w:ascii="仿宋" w:hAnsi="仿宋" w:eastAsia="仿宋" w:cs="仿宋"/>
          <w:b w:val="0"/>
          <w:bCs/>
          <w:sz w:val="28"/>
          <w:szCs w:val="28"/>
        </w:rPr>
        <w:t>（1）</w:t>
      </w:r>
      <w:r>
        <w:rPr>
          <w:rFonts w:ascii="仿宋" w:hAnsi="仿宋" w:eastAsia="仿宋" w:cs="仿宋"/>
          <w:b w:val="0"/>
          <w:bCs/>
          <w:sz w:val="28"/>
          <w:szCs w:val="28"/>
        </w:rPr>
        <w:t>编制“十四五”各项规划</w:t>
      </w:r>
      <w:r>
        <w:rPr>
          <w:rFonts w:hint="eastAsia" w:ascii="仿宋" w:hAnsi="仿宋" w:eastAsia="仿宋" w:cs="仿宋"/>
          <w:b w:val="0"/>
          <w:bCs/>
          <w:sz w:val="28"/>
          <w:szCs w:val="28"/>
        </w:rPr>
        <w:t>：完成《湘西州国民经济和社会发展第十四个五年规划和二〇三五年远景目标纲要（草案）》</w:t>
      </w:r>
      <w:r>
        <w:rPr>
          <w:rFonts w:ascii="仿宋" w:hAnsi="仿宋" w:eastAsia="仿宋" w:cs="仿宋"/>
          <w:b w:val="0"/>
          <w:bCs/>
          <w:sz w:val="28"/>
          <w:szCs w:val="28"/>
        </w:rPr>
        <w:t>编制</w:t>
      </w:r>
      <w:r>
        <w:rPr>
          <w:rFonts w:hint="eastAsia" w:ascii="仿宋" w:hAnsi="仿宋" w:eastAsia="仿宋" w:cs="仿宋"/>
          <w:b w:val="0"/>
          <w:bCs/>
          <w:sz w:val="28"/>
          <w:szCs w:val="28"/>
        </w:rPr>
        <w:t>、</w:t>
      </w:r>
      <w:r>
        <w:rPr>
          <w:rFonts w:ascii="仿宋" w:hAnsi="仿宋" w:eastAsia="仿宋" w:cs="仿宋"/>
          <w:b w:val="0"/>
          <w:bCs/>
          <w:sz w:val="28"/>
          <w:szCs w:val="28"/>
        </w:rPr>
        <w:t>《湘西自治州承接产业转移示范区发展规划》《湘西自治州省级产业园区布局优化专项规划》《湘西州“十四五”电力能源发展规划》《湘西州地热资源开发利用规划》等规划</w:t>
      </w:r>
      <w:r>
        <w:rPr>
          <w:rFonts w:hint="eastAsia" w:ascii="仿宋" w:hAnsi="仿宋" w:eastAsia="仿宋" w:cs="仿宋"/>
          <w:b w:val="0"/>
          <w:bCs/>
          <w:sz w:val="28"/>
          <w:szCs w:val="28"/>
        </w:rPr>
        <w:t>抓运行保障发展。突出争资上项，抢抓政策机遇。围绕国家投资政策和上级资金安排政策。抓经济运行监测分析，紧盯主要指标变化，</w:t>
      </w:r>
      <w:r>
        <w:rPr>
          <w:rFonts w:ascii="仿宋" w:hAnsi="仿宋" w:eastAsia="仿宋" w:cs="仿宋"/>
          <w:b w:val="0"/>
          <w:bCs/>
          <w:sz w:val="28"/>
          <w:szCs w:val="28"/>
        </w:rPr>
        <w:t>代拟出台《湘西州“十四五”重点专项规划编制指导目录》</w:t>
      </w:r>
      <w:r>
        <w:rPr>
          <w:rFonts w:hint="eastAsia" w:ascii="仿宋" w:hAnsi="仿宋" w:eastAsia="仿宋" w:cs="仿宋"/>
          <w:b w:val="0"/>
          <w:bCs/>
          <w:sz w:val="28"/>
          <w:szCs w:val="28"/>
        </w:rPr>
        <w:t>。争取财政性资金</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申报地方政府债券项目</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推进政银企合作</w:t>
      </w:r>
      <w:r>
        <w:rPr>
          <w:rFonts w:hint="eastAsia" w:ascii="仿宋" w:hAnsi="仿宋" w:eastAsia="仿宋" w:cs="仿宋"/>
          <w:b w:val="0"/>
          <w:bCs/>
          <w:sz w:val="28"/>
          <w:szCs w:val="28"/>
          <w:lang w:eastAsia="zh-CN"/>
        </w:rPr>
        <w:t>；</w:t>
      </w:r>
      <w:r>
        <w:rPr>
          <w:rFonts w:ascii="仿宋" w:hAnsi="仿宋" w:eastAsia="仿宋" w:cs="仿宋"/>
          <w:b w:val="0"/>
          <w:bCs/>
          <w:sz w:val="28"/>
          <w:szCs w:val="28"/>
        </w:rPr>
        <w:t>出政策推动发展</w:t>
      </w:r>
      <w:r>
        <w:rPr>
          <w:rFonts w:hint="eastAsia" w:ascii="仿宋" w:hAnsi="仿宋" w:eastAsia="仿宋" w:cs="仿宋"/>
          <w:b w:val="0"/>
          <w:bCs/>
          <w:sz w:val="28"/>
          <w:szCs w:val="28"/>
        </w:rPr>
        <w:t>，</w:t>
      </w:r>
      <w:r>
        <w:rPr>
          <w:rFonts w:ascii="仿宋" w:hAnsi="仿宋" w:eastAsia="仿宋" w:cs="仿宋"/>
          <w:b w:val="0"/>
          <w:bCs/>
          <w:sz w:val="28"/>
          <w:szCs w:val="28"/>
        </w:rPr>
        <w:t>推动经济高质量发展</w:t>
      </w:r>
      <w:r>
        <w:rPr>
          <w:rFonts w:hint="eastAsia" w:ascii="仿宋" w:hAnsi="仿宋" w:eastAsia="仿宋" w:cs="仿宋"/>
          <w:b w:val="0"/>
          <w:bCs/>
          <w:sz w:val="28"/>
          <w:szCs w:val="28"/>
        </w:rPr>
        <w:t>，</w:t>
      </w:r>
      <w:r>
        <w:rPr>
          <w:rFonts w:ascii="仿宋" w:hAnsi="仿宋" w:eastAsia="仿宋" w:cs="仿宋"/>
          <w:b w:val="0"/>
          <w:bCs/>
          <w:sz w:val="28"/>
          <w:szCs w:val="28"/>
        </w:rPr>
        <w:t>密切关注宏观经济形势和宏观调控政策，对经济运行情况实行按月调度、按季会商</w:t>
      </w:r>
      <w:r>
        <w:rPr>
          <w:rFonts w:hint="eastAsia" w:ascii="仿宋" w:hAnsi="仿宋" w:eastAsia="仿宋" w:cs="仿宋"/>
          <w:b w:val="0"/>
          <w:bCs/>
          <w:sz w:val="28"/>
          <w:szCs w:val="28"/>
        </w:rPr>
        <w:t>。</w:t>
      </w:r>
      <w:r>
        <w:rPr>
          <w:rFonts w:hint="eastAsia" w:ascii="仿宋" w:hAnsi="仿宋" w:eastAsia="仿宋" w:cs="仿宋"/>
          <w:b w:val="0"/>
          <w:bCs/>
          <w:sz w:val="28"/>
          <w:szCs w:val="28"/>
          <w:lang w:val="en-US" w:eastAsia="zh-CN"/>
        </w:rPr>
        <w:t>支</w:t>
      </w:r>
      <w:r>
        <w:rPr>
          <w:rFonts w:ascii="仿宋" w:hAnsi="仿宋" w:eastAsia="仿宋" w:cs="仿宋"/>
          <w:b w:val="0"/>
          <w:bCs/>
          <w:sz w:val="28"/>
          <w:szCs w:val="28"/>
        </w:rPr>
        <w:t>持企业申报口罩扩能资金及抗疫国债</w:t>
      </w:r>
      <w:r>
        <w:rPr>
          <w:rFonts w:hint="eastAsia" w:ascii="仿宋" w:hAnsi="仿宋" w:eastAsia="仿宋" w:cs="仿宋"/>
          <w:b w:val="0"/>
          <w:bCs/>
          <w:sz w:val="28"/>
          <w:szCs w:val="28"/>
          <w:lang w:eastAsia="zh-CN"/>
        </w:rPr>
        <w:t>；</w:t>
      </w:r>
      <w:r>
        <w:rPr>
          <w:rFonts w:ascii="仿宋" w:hAnsi="仿宋" w:eastAsia="仿宋" w:cs="仿宋"/>
          <w:b w:val="0"/>
          <w:bCs/>
          <w:sz w:val="28"/>
          <w:szCs w:val="28"/>
        </w:rPr>
        <w:t>强化能源保障，成功应对电力、天然气</w:t>
      </w:r>
      <w:r>
        <w:rPr>
          <w:rFonts w:hint="eastAsia" w:ascii="仿宋" w:hAnsi="仿宋" w:eastAsia="仿宋" w:cs="仿宋"/>
          <w:b w:val="0"/>
          <w:bCs/>
          <w:sz w:val="28"/>
          <w:szCs w:val="28"/>
        </w:rPr>
        <w:t>。</w:t>
      </w:r>
      <w:r>
        <w:rPr>
          <w:rFonts w:ascii="仿宋" w:hAnsi="仿宋" w:eastAsia="仿宋" w:cs="仿宋"/>
          <w:b w:val="0"/>
          <w:bCs/>
          <w:sz w:val="28"/>
          <w:szCs w:val="28"/>
        </w:rPr>
        <w:t>民生商品应急价格监测和市场巡查，确保市场供应充足、价格平稳，稳定社会预期。</w:t>
      </w:r>
      <w:r>
        <w:rPr>
          <w:rFonts w:hint="eastAsia" w:ascii="仿宋" w:hAnsi="仿宋" w:eastAsia="仿宋" w:cs="仿宋"/>
          <w:b w:val="0"/>
          <w:bCs/>
          <w:sz w:val="28"/>
          <w:szCs w:val="28"/>
        </w:rPr>
        <w:t xml:space="preserve"> </w:t>
      </w:r>
    </w:p>
    <w:p>
      <w:pPr>
        <w:spacing w:before="183" w:beforeLines="50" w:line="540" w:lineRule="exact"/>
        <w:ind w:firstLine="560" w:firstLineChars="200"/>
        <w:rPr>
          <w:rFonts w:ascii="仿宋" w:hAnsi="仿宋" w:eastAsia="仿宋" w:cs="仿宋"/>
          <w:b w:val="0"/>
          <w:bCs/>
          <w:sz w:val="28"/>
          <w:szCs w:val="28"/>
        </w:rPr>
      </w:pPr>
      <w:r>
        <w:rPr>
          <w:rFonts w:hint="eastAsia" w:ascii="仿宋" w:hAnsi="仿宋" w:eastAsia="仿宋" w:cs="仿宋"/>
          <w:b w:val="0"/>
          <w:bCs/>
          <w:sz w:val="28"/>
          <w:szCs w:val="28"/>
        </w:rPr>
        <w:t>（2）以谋划和推进落实重点项目为抓手，促进落实“六稳”工作和“六保”任务。坚持疫情防控和项目建设“两手抓、两手硬、两不误”，推进项目开工复工，下发《州发改委关于切实做好州重点建设项目疫情防控及开工复工的通知》（州发改发〔2020〕26号），成立工作专班，实行班子成员联县市制度，指导全州重点项目抓紧复工开工。开通州、县两级诉求热线，全州建立“一日一调度、一日一协调、一日一反馈”的工作机制，开展全州重点项目集中开工活动3次，8月份实现投资转正，全年固定资产投资增长6.1%</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其中省重点项目方面：24个省重点建设项目完成投资117.5亿元，为年投资计划的175％，超额完成年度投资任务。州重点项目方面：273个州重点建设项目完成投资509.7亿元，完成考核任务的127%，张吉怀高铁铺轨建设全面开始、湘西机场跑道土石方工程全面完成、龙桑高速开工建设、“龙山-花垣”段天然气长输管网实现通气点火。省“五个100”项目方面：3个省重大产业项目完成投资26.7亿元，为计划的136.9%。州重点产业项目方面：130个州重点产业项目完成投资217.7亿元，为年度计划任务的103.8%。融资专项发力重点项目。紧扣中央扩大新增专项债券规模、加大预算内投资力度、加强与金融机构战略合作的政策机遇，与国开行、中国银行、建设银行、交通银行、工商银行等金融机构开展战略合作，46个企业项目与银行机构签订贷款意向书，签约授信额度125亿元。部署基础设施不动产投资信托基金（REITs）试点工作，谋划项目7个，总投资达50亿元。谋划20个项目拟争取2亿美元的亚行贷款项目。牵头起草并印发实施《关于进一步加强项目建设促进稳投资的意见》（州政发〔2020〕19号）、《湘西自治州强化易地扶贫搬迁后续扶持工作十条措施（试行）》（州政发〔2020〕21号）、《全州产业园区评估工作实施方案》（州政办发〔2020〕14号）、《推进全州园区高质量发展考核暂行办法》（州政办函〔2020〕19号）等文件，推动经济高质量发展。</w:t>
      </w:r>
    </w:p>
    <w:p>
      <w:pPr>
        <w:spacing w:line="580" w:lineRule="exact"/>
        <w:ind w:firstLine="560" w:firstLineChars="200"/>
        <w:rPr>
          <w:rFonts w:ascii="仿宋" w:hAnsi="仿宋" w:eastAsia="仿宋" w:cs="仿宋"/>
          <w:b w:val="0"/>
          <w:bCs/>
          <w:sz w:val="28"/>
          <w:szCs w:val="28"/>
        </w:rPr>
      </w:pPr>
      <w:r>
        <w:rPr>
          <w:rFonts w:hint="eastAsia" w:ascii="仿宋" w:hAnsi="仿宋" w:eastAsia="仿宋" w:cs="仿宋"/>
          <w:b w:val="0"/>
          <w:bCs/>
          <w:sz w:val="28"/>
          <w:szCs w:val="28"/>
        </w:rPr>
        <w:t>（3）累计完成投资超50亿元，建成安置住房1.97万套约204万平方米，1.97万户8.18万人建档立卡贫困群众已全部进新区、住新房、过上新生活，全国易地扶贫搬迁论坛全面推介了“湘西经验”。纵深推进东西部扶贫协作。2017年-2020年，济南市累计援助湘西州财政资金11.08亿元、社会帮扶资金（含物资）2.58亿元，实施协作项目397个，47家企业落户湘西，建设扶贫车间217个，消费扶贫产品3.59亿元，帮助贫困劳动力实现就业5.8万余人次，两地互派挂职干部和专业技术人才2358人，全州43.8万余名贫困人口受益，扶贫协作成绩显著，得到国家扶贫办领导多次肯定。全力打好污染防治攻坚战，扎实推进2019年长江经济带生态环境警示片披露问题整改，配合国家发改委开展“锰三角锰产业发展”专题调研。认真落实省定能源“双控”目标，开展全州9个省级园区的区域节能评估工作，推进重点用能单位节能监察、举办年度节能宣传周系列活动；加强经济社会风险防范，进一步完善政府投资评审工作，强化政府投资风险评估，严格控制投资概算，完成评审任务25项，节约政府投资逾千万元，核减不合理能源消费90.85吨标准煤，退回不符合规范要求和建设标准的项目3项。</w:t>
      </w:r>
    </w:p>
    <w:p>
      <w:pPr>
        <w:spacing w:line="580" w:lineRule="exact"/>
        <w:ind w:firstLine="560" w:firstLineChars="200"/>
        <w:rPr>
          <w:rFonts w:ascii="仿宋" w:hAnsi="仿宋" w:eastAsia="仿宋" w:cs="仿宋"/>
          <w:b w:val="0"/>
          <w:bCs/>
          <w:kern w:val="0"/>
          <w:sz w:val="28"/>
          <w:szCs w:val="28"/>
        </w:rPr>
      </w:pPr>
      <w:r>
        <w:rPr>
          <w:rFonts w:hint="eastAsia" w:ascii="仿宋" w:hAnsi="仿宋" w:eastAsia="仿宋" w:cs="仿宋"/>
          <w:b w:val="0"/>
          <w:bCs/>
          <w:sz w:val="28"/>
          <w:szCs w:val="28"/>
        </w:rPr>
        <w:t>（4）推进济南湘西劳务协作等稳就业工作，帮助1.95万贫困人口稳定就业。出台《湘西州关于进一步做好中央预算内投资建设项目农民工工资支付工资的通知》（州发改发〔2020〕150号），切实维护农民工合法权益；支持康养中心、基层公共卫生服务能力提升、教育现代化推进工程、公办幼儿园等一批重点民生项目建设，完成社会足球场建设任务。启动社会救助和保障标准与物价上涨挂钩联动机制，全年累计发放价格临时补贴8140.37万元；粮食作物存售、农资购买等农产品成本调查，完成</w:t>
      </w:r>
      <w:r>
        <w:rPr>
          <w:rFonts w:hint="eastAsia" w:ascii="仿宋" w:hAnsi="仿宋" w:eastAsia="仿宋" w:cs="仿宋"/>
          <w:b w:val="0"/>
          <w:bCs/>
          <w:kern w:val="0"/>
          <w:sz w:val="28"/>
          <w:szCs w:val="28"/>
        </w:rPr>
        <w:t>湘西州普通高中学业水平考试收费等11个定价成本监审项目，</w:t>
      </w:r>
      <w:r>
        <w:rPr>
          <w:rFonts w:hint="eastAsia" w:ascii="仿宋" w:hAnsi="仿宋" w:eastAsia="仿宋" w:cs="仿宋"/>
          <w:b w:val="0"/>
          <w:bCs/>
          <w:sz w:val="28"/>
          <w:szCs w:val="28"/>
        </w:rPr>
        <w:t>核减非定价成本9111万元，核减率达17.32%。创新</w:t>
      </w:r>
      <w:r>
        <w:rPr>
          <w:rFonts w:hint="eastAsia" w:ascii="仿宋" w:hAnsi="仿宋" w:eastAsia="仿宋" w:cs="仿宋"/>
          <w:b w:val="0"/>
          <w:bCs/>
          <w:kern w:val="0"/>
          <w:sz w:val="28"/>
          <w:szCs w:val="28"/>
        </w:rPr>
        <w:t>推进价格认定工作，做好全州退捕渔船价格认定。</w:t>
      </w:r>
    </w:p>
    <w:p>
      <w:pPr>
        <w:spacing w:line="580" w:lineRule="exact"/>
        <w:ind w:firstLine="560" w:firstLineChars="200"/>
        <w:rPr>
          <w:rFonts w:ascii="仿宋" w:hAnsi="仿宋" w:eastAsia="仿宋" w:cs="仿宋"/>
          <w:b w:val="0"/>
          <w:bCs/>
          <w:sz w:val="28"/>
          <w:szCs w:val="28"/>
        </w:rPr>
      </w:pPr>
      <w:r>
        <w:rPr>
          <w:rFonts w:hint="eastAsia" w:ascii="仿宋" w:hAnsi="仿宋" w:eastAsia="仿宋" w:cs="仿宋"/>
          <w:b w:val="0"/>
          <w:bCs/>
          <w:sz w:val="28"/>
          <w:szCs w:val="28"/>
        </w:rPr>
        <w:t>（5）统筹推进经济体制改革和社会事业领域改革印发《湘西自治州2020年深化经济体制改革重点任务及责任分工》《湘西自治州2020年深化社会体制改革重点任务及责任分工》，会同相关部门完成经济体制改革任务清单26项、社会体制改革任务清单21项。代拟出台《2020年湘西州深化“放管服”改革优化营商环境工作计划》《放管服改革优化营商环境及智慧湘西建设工作专项考核办法》等，构建“1+9+200+450”营商环境监测体系。疫情期间推行“不见面审批”，优惠支持政策梳理，形成“干货”政策条款清单，落实纾困惠企政策。持续聘请第三方机构开展优化营商环境评估，推广监测员机制，全力优化营商环境。营商环境满意度由48.3%提高至69.3%。梳理出《信用联合奖惩联席会议机制清单》《信用联合奖惩措施清单》《湘西州公共信用信息归集目录（2020年版）》等，基本完成州社会信用信息共享交换平台升级改造工程。全州共归集各类信用信息82.97万条，新增信用联合奖惩市场主体对象975个。</w:t>
      </w:r>
    </w:p>
    <w:p>
      <w:pPr>
        <w:spacing w:line="580" w:lineRule="exact"/>
        <w:ind w:firstLine="560" w:firstLineChars="200"/>
        <w:rPr>
          <w:rFonts w:ascii="仿宋" w:hAnsi="仿宋" w:eastAsia="仿宋" w:cs="仿宋"/>
          <w:b w:val="0"/>
          <w:bCs/>
          <w:kern w:val="0"/>
          <w:sz w:val="28"/>
          <w:szCs w:val="28"/>
        </w:rPr>
      </w:pPr>
      <w:r>
        <w:rPr>
          <w:rFonts w:hint="eastAsia" w:ascii="仿宋" w:hAnsi="仿宋" w:eastAsia="仿宋" w:cs="仿宋"/>
          <w:b w:val="0"/>
          <w:bCs/>
          <w:sz w:val="28"/>
          <w:szCs w:val="28"/>
        </w:rPr>
        <w:t>（6）深入学习习近平新时代中国特色社会主义思想，认真贯彻落实党的十九届五中全会及习近平总书记来湘考察重要讲话精神等，开全年组织开展党组理论学习中心组10次，周五集体学习26次，主题党日活动35次。</w:t>
      </w:r>
      <w:r>
        <w:rPr>
          <w:rFonts w:hint="eastAsia" w:ascii="仿宋" w:hAnsi="仿宋" w:eastAsia="仿宋" w:cs="仿宋"/>
          <w:b w:val="0"/>
          <w:bCs/>
          <w:kern w:val="0"/>
          <w:sz w:val="28"/>
          <w:szCs w:val="28"/>
        </w:rPr>
        <w:t>开展委内作风检查，巩固风清气正的政治生态。</w:t>
      </w:r>
      <w:r>
        <w:rPr>
          <w:rFonts w:hint="eastAsia" w:ascii="仿宋" w:hAnsi="仿宋" w:eastAsia="仿宋" w:cs="仿宋"/>
          <w:b w:val="0"/>
          <w:bCs/>
          <w:sz w:val="28"/>
          <w:szCs w:val="28"/>
        </w:rPr>
        <w:t>严格执行“三会一课”、民主评议党员、组织生活会等各项制度，完成“不忘初心、牢记使命”主题教育总结会，成立了州发改系统机关党委（纪委），表彰了系统14名优秀共产党员，6名党务工作者，2个先进基层党组织。</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（二）</w:t>
      </w:r>
      <w:bookmarkStart w:id="5" w:name="_Hlk72098359"/>
      <w:r>
        <w:rPr>
          <w:rFonts w:hint="eastAsia" w:ascii="仿宋" w:hAnsi="仿宋" w:eastAsia="仿宋" w:cs="仿宋"/>
          <w:b/>
          <w:bCs/>
          <w:sz w:val="30"/>
          <w:szCs w:val="30"/>
        </w:rPr>
        <w:t>单位年度整体支出绩效目标</w:t>
      </w:r>
      <w:bookmarkEnd w:id="5"/>
      <w:bookmarkStart w:id="6" w:name="_Hlk72098383"/>
    </w:p>
    <w:bookmarkEnd w:id="6"/>
    <w:p>
      <w:pPr>
        <w:spacing w:line="580" w:lineRule="exact"/>
        <w:ind w:firstLine="700" w:firstLineChars="250"/>
        <w:rPr>
          <w:rFonts w:ascii="仿宋" w:hAnsi="仿宋" w:eastAsia="仿宋" w:cs="仿宋"/>
          <w:color w:val="auto"/>
          <w:kern w:val="0"/>
          <w:sz w:val="28"/>
          <w:szCs w:val="28"/>
        </w:rPr>
      </w:pPr>
      <w:r>
        <w:rPr>
          <w:rFonts w:hint="eastAsia" w:ascii="仿宋" w:hAnsi="仿宋" w:eastAsia="仿宋" w:cs="仿宋"/>
          <w:sz w:val="28"/>
          <w:szCs w:val="28"/>
        </w:rPr>
        <w:t>2020年，在州委、州政府的坚强领导下，对全州经济运行情况实行按月调度、按季会商，及时形成经济运行情况报告向州汇报，全州重点项目集中开工活动3次。全年固定资产投资增长6.1%，297个省州重点建设项目完成投资627.2亿元，3个省重大产业项目完成投资26.7亿元，为计划的136.9%。130个州重点产业项目完成投资217.7亿元，为年度计划任务的103.8%。与国开行、中国银行、建设银行、交通银行、工商银行等金融机构开展战略合作，46个企业项目与银行机构签订贷款意向书，签约授信额度125亿元。部署基础设施不动产投资信托基金（REITs）试点工作，支持项目7个，总投资达50亿元。20个项目拟争取2亿美元的亚行贷款项目，湘西高新区首登大湘西片区省级产业园区第3名；新建标准厂房118万平方米；全州“十三五”易地扶贫搬迁199个安置项目建设已全面完成，累计完成投资超50亿元，建成安置住房1.97万套约204万平方米，1.97万户8.18万人建档立卡贫困群众已全部进新区、住新房、过上新生活，全国易地扶贫搬迁论坛全面推介了“湘西经验”</w:t>
      </w:r>
      <w:r>
        <w:rPr>
          <w:rFonts w:hint="eastAsia" w:ascii="仿宋" w:hAnsi="仿宋" w:eastAsia="仿宋" w:cs="仿宋"/>
          <w:b/>
          <w:sz w:val="28"/>
          <w:szCs w:val="28"/>
        </w:rPr>
        <w:t>。</w:t>
      </w:r>
      <w:r>
        <w:rPr>
          <w:rFonts w:hint="eastAsia" w:ascii="仿宋" w:hAnsi="仿宋" w:eastAsia="仿宋" w:cs="仿宋"/>
          <w:sz w:val="28"/>
          <w:szCs w:val="28"/>
        </w:rPr>
        <w:t>2017年-2020年，济南市累计援助湘西州财政资金11.08亿元、社会帮扶资金（含物资）2.58亿元，实施协作项目397个，47家企业落户湘西，建设扶贫车间217个，消费扶贫产品3.59亿元，帮助贫困劳动力实现就业5.8万余人次，两地互派挂职干部和专业技术人才2358人，全州43.8万余名贫困人口受益，扶贫协作成绩显著，得到国家扶贫办领导多次肯定。全年组织党组理论学习中心组10次，周五集体学习26次，主题党日活动35次。表彰了系统14名优秀共产党员，6名党务工作者，2个先进基层党组织，</w:t>
      </w:r>
      <w:r>
        <w:rPr>
          <w:rFonts w:hint="eastAsia" w:ascii="仿宋" w:hAnsi="仿宋" w:eastAsia="仿宋" w:cs="仿宋"/>
          <w:kern w:val="0"/>
          <w:sz w:val="28"/>
          <w:szCs w:val="28"/>
        </w:rPr>
        <w:t>湘西州发改委被国家发展改革委授予全国易地扶贫搬迁</w:t>
      </w:r>
      <w:r>
        <w:rPr>
          <w:rFonts w:hint="eastAsia" w:ascii="仿宋" w:hAnsi="仿宋" w:eastAsia="仿宋" w:cs="仿宋"/>
          <w:color w:val="auto"/>
          <w:kern w:val="0"/>
          <w:sz w:val="28"/>
          <w:szCs w:val="28"/>
        </w:rPr>
        <w:t>“搬迁工作担当有为集体”、荣获全州优化营商环境先进单位、省级文明单位。</w:t>
      </w:r>
    </w:p>
    <w:p>
      <w:pPr>
        <w:spacing w:line="580" w:lineRule="exact"/>
        <w:ind w:firstLine="700" w:firstLineChars="250"/>
        <w:rPr>
          <w:rFonts w:ascii="仿宋" w:hAnsi="仿宋" w:eastAsia="仿宋" w:cs="仿宋"/>
          <w:color w:val="auto"/>
          <w:sz w:val="28"/>
          <w:szCs w:val="28"/>
        </w:rPr>
      </w:pPr>
      <w:r>
        <w:rPr>
          <w:rFonts w:hint="eastAsia" w:ascii="仿宋" w:hAnsi="仿宋" w:eastAsia="仿宋" w:cs="仿宋"/>
          <w:color w:val="auto"/>
          <w:sz w:val="28"/>
          <w:szCs w:val="28"/>
        </w:rPr>
        <w:t>本年“三公经费”预算</w:t>
      </w:r>
      <w:r>
        <w:rPr>
          <w:rFonts w:hint="eastAsia" w:ascii="仿宋" w:hAnsi="仿宋" w:eastAsia="仿宋" w:cs="仿宋"/>
          <w:color w:val="auto"/>
          <w:sz w:val="28"/>
          <w:szCs w:val="28"/>
          <w:lang w:val="en-US" w:eastAsia="zh-CN"/>
        </w:rPr>
        <w:t>130.10</w:t>
      </w:r>
      <w:r>
        <w:rPr>
          <w:rFonts w:hint="eastAsia" w:ascii="仿宋" w:hAnsi="仿宋" w:eastAsia="仿宋" w:cs="仿宋"/>
          <w:color w:val="auto"/>
          <w:sz w:val="28"/>
          <w:szCs w:val="28"/>
        </w:rPr>
        <w:t>万元，实际执行</w:t>
      </w:r>
      <w:r>
        <w:rPr>
          <w:rFonts w:hint="eastAsia" w:ascii="仿宋" w:hAnsi="仿宋" w:eastAsia="仿宋" w:cs="仿宋"/>
          <w:color w:val="auto"/>
          <w:sz w:val="28"/>
          <w:szCs w:val="28"/>
          <w:lang w:val="en-US" w:eastAsia="zh-CN"/>
        </w:rPr>
        <w:t>65.59</w:t>
      </w:r>
      <w:r>
        <w:rPr>
          <w:rFonts w:hint="eastAsia" w:ascii="仿宋" w:hAnsi="仿宋" w:eastAsia="仿宋" w:cs="仿宋"/>
          <w:color w:val="auto"/>
          <w:sz w:val="28"/>
          <w:szCs w:val="28"/>
        </w:rPr>
        <w:t>万元。2020年公务用车购置及运行维护费</w:t>
      </w:r>
      <w:r>
        <w:rPr>
          <w:rFonts w:hint="eastAsia" w:ascii="仿宋" w:hAnsi="仿宋" w:eastAsia="仿宋" w:cs="仿宋"/>
          <w:color w:val="auto"/>
          <w:sz w:val="28"/>
          <w:szCs w:val="28"/>
          <w:lang w:val="en-US" w:eastAsia="zh-CN"/>
        </w:rPr>
        <w:t>55.14万元，其中公务用车购置费29.98万元，公务用车运行维护费25.16万元；</w:t>
      </w:r>
      <w:r>
        <w:rPr>
          <w:rFonts w:hint="eastAsia" w:ascii="仿宋" w:hAnsi="仿宋" w:eastAsia="仿宋" w:cs="仿宋"/>
          <w:color w:val="auto"/>
          <w:sz w:val="28"/>
          <w:szCs w:val="28"/>
        </w:rPr>
        <w:t>公务接待费支出</w:t>
      </w:r>
      <w:r>
        <w:rPr>
          <w:rFonts w:hint="eastAsia" w:ascii="仿宋" w:hAnsi="仿宋" w:eastAsia="仿宋" w:cs="仿宋"/>
          <w:color w:val="auto"/>
          <w:sz w:val="28"/>
          <w:szCs w:val="28"/>
          <w:lang w:val="en-US" w:eastAsia="zh-CN"/>
        </w:rPr>
        <w:t>10.44</w:t>
      </w:r>
      <w:r>
        <w:rPr>
          <w:rFonts w:hint="eastAsia" w:ascii="仿宋" w:hAnsi="仿宋" w:eastAsia="仿宋" w:cs="仿宋"/>
          <w:color w:val="auto"/>
          <w:sz w:val="28"/>
          <w:szCs w:val="28"/>
        </w:rPr>
        <w:t xml:space="preserve">万元。  </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二、一般公共预算支出情况</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（一）部门整体支出基本情况</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2020年，本部门经批准的调整预算总收入金额合计4324.57万元，其中财政拨款收入3772.29</w:t>
      </w:r>
      <w:bookmarkStart w:id="7" w:name="_Hlk74693268"/>
      <w:r>
        <w:rPr>
          <w:rFonts w:hint="eastAsia" w:ascii="仿宋" w:hAnsi="仿宋" w:eastAsia="仿宋" w:cs="仿宋"/>
          <w:sz w:val="28"/>
          <w:szCs w:val="28"/>
        </w:rPr>
        <w:t>万元</w:t>
      </w:r>
      <w:bookmarkEnd w:id="7"/>
      <w:r>
        <w:rPr>
          <w:rFonts w:hint="eastAsia" w:ascii="仿宋" w:hAnsi="仿宋" w:eastAsia="仿宋" w:cs="仿宋"/>
          <w:sz w:val="28"/>
          <w:szCs w:val="28"/>
        </w:rPr>
        <w:t>，其他收入36.93万元，使用非财政拨款结余31.84万元，上年结转483.51万元。</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本部门2020年全年总支出3449.61万元，较2019年支出3889.80 万元，减少440.19万元，降低比率为11.32%。年末结转和结余874.72 万元。</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（二）基本支出情况</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2020年，本部门支出合计</w:t>
      </w:r>
      <w:bookmarkStart w:id="8" w:name="_Hlk74863806"/>
      <w:r>
        <w:rPr>
          <w:rFonts w:hint="eastAsia" w:ascii="仿宋" w:hAnsi="仿宋" w:eastAsia="仿宋" w:cs="仿宋"/>
          <w:sz w:val="28"/>
          <w:szCs w:val="28"/>
        </w:rPr>
        <w:t xml:space="preserve">1748.38 </w:t>
      </w:r>
      <w:bookmarkEnd w:id="8"/>
      <w:r>
        <w:rPr>
          <w:rFonts w:hint="eastAsia" w:ascii="仿宋" w:hAnsi="仿宋" w:eastAsia="仿宋" w:cs="仿宋"/>
          <w:sz w:val="28"/>
          <w:szCs w:val="28"/>
        </w:rPr>
        <w:t>万元，其中人员经费1486.64 万元，公用经费261.74 万元；主要用于一般公共服务支出1230.11 万元、社会保障和就业支出191.45  万元、 卫生健康支出46.76 万元、节能环保支出199.92 万元、住房保障支出</w:t>
      </w:r>
      <w:bookmarkStart w:id="9" w:name="_Hlk74865113"/>
      <w:r>
        <w:rPr>
          <w:rFonts w:hint="eastAsia" w:ascii="仿宋" w:hAnsi="仿宋" w:eastAsia="仿宋" w:cs="仿宋"/>
          <w:sz w:val="28"/>
          <w:szCs w:val="28"/>
        </w:rPr>
        <w:t xml:space="preserve">80.14 </w:t>
      </w:r>
      <w:bookmarkEnd w:id="9"/>
      <w:r>
        <w:rPr>
          <w:rFonts w:hint="eastAsia" w:ascii="仿宋" w:hAnsi="仿宋" w:eastAsia="仿宋" w:cs="仿宋"/>
          <w:sz w:val="28"/>
          <w:szCs w:val="28"/>
        </w:rPr>
        <w:t>万元（住房公积金80.14万元），均按财政部门要求进行使用和管理。</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按科目分类年度工资福利支出1297.31 万元，商品服务支出259.53 万元，对个人与家庭补助支出189.34 万元，资本性支出2.22 万元、支出合计1748.38万元。</w:t>
      </w:r>
    </w:p>
    <w:tbl>
      <w:tblPr>
        <w:tblStyle w:val="8"/>
        <w:tblpPr w:leftFromText="180" w:rightFromText="180" w:vertAnchor="text" w:horzAnchor="page" w:tblpX="1877" w:tblpY="602"/>
        <w:tblOverlap w:val="never"/>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51"/>
        <w:gridCol w:w="2835"/>
        <w:gridCol w:w="1984"/>
        <w:gridCol w:w="170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spacing w:line="440" w:lineRule="atLeast"/>
              <w:jc w:val="center"/>
              <w:rPr>
                <w:rFonts w:ascii="仿宋" w:hAnsi="仿宋" w:eastAsia="仿宋" w:cs="仿宋"/>
                <w:b/>
                <w:kern w:val="0"/>
                <w:sz w:val="24"/>
              </w:rPr>
            </w:pPr>
            <w:r>
              <w:rPr>
                <w:rFonts w:hint="eastAsia" w:ascii="仿宋" w:hAnsi="仿宋" w:eastAsia="仿宋" w:cs="仿宋"/>
                <w:b/>
                <w:kern w:val="0"/>
                <w:sz w:val="24"/>
              </w:rPr>
              <w:t>序号</w:t>
            </w:r>
          </w:p>
        </w:tc>
        <w:tc>
          <w:tcPr>
            <w:tcW w:w="2835" w:type="dxa"/>
            <w:shd w:val="clear" w:color="auto" w:fill="FFFFFF"/>
            <w:vAlign w:val="center"/>
          </w:tcPr>
          <w:p>
            <w:pPr>
              <w:widowControl/>
              <w:spacing w:line="440" w:lineRule="atLeast"/>
              <w:jc w:val="center"/>
              <w:rPr>
                <w:rFonts w:ascii="仿宋" w:hAnsi="仿宋" w:eastAsia="仿宋" w:cs="仿宋"/>
                <w:b/>
                <w:kern w:val="0"/>
                <w:sz w:val="24"/>
              </w:rPr>
            </w:pPr>
            <w:r>
              <w:rPr>
                <w:rFonts w:hint="eastAsia" w:ascii="仿宋" w:hAnsi="仿宋" w:eastAsia="仿宋" w:cs="仿宋"/>
                <w:b/>
                <w:kern w:val="0"/>
                <w:sz w:val="24"/>
              </w:rPr>
              <w:t>支出项目</w:t>
            </w:r>
          </w:p>
        </w:tc>
        <w:tc>
          <w:tcPr>
            <w:tcW w:w="1984" w:type="dxa"/>
            <w:shd w:val="clear" w:color="auto" w:fill="FFFFFF"/>
            <w:tcMar>
              <w:left w:w="108" w:type="dxa"/>
              <w:right w:w="108" w:type="dxa"/>
            </w:tcMar>
            <w:vAlign w:val="center"/>
          </w:tcPr>
          <w:p>
            <w:pPr>
              <w:widowControl/>
              <w:spacing w:line="440" w:lineRule="atLeast"/>
              <w:jc w:val="center"/>
              <w:rPr>
                <w:rFonts w:ascii="仿宋" w:hAnsi="仿宋" w:eastAsia="仿宋" w:cs="仿宋"/>
                <w:b/>
                <w:kern w:val="0"/>
                <w:sz w:val="24"/>
              </w:rPr>
            </w:pPr>
            <w:r>
              <w:rPr>
                <w:rFonts w:hint="eastAsia" w:ascii="仿宋" w:hAnsi="仿宋" w:eastAsia="仿宋" w:cs="仿宋"/>
                <w:b/>
                <w:kern w:val="0"/>
                <w:sz w:val="24"/>
              </w:rPr>
              <w:t>2020年基本支出（万元）</w:t>
            </w:r>
          </w:p>
        </w:tc>
        <w:tc>
          <w:tcPr>
            <w:tcW w:w="1701" w:type="dxa"/>
            <w:shd w:val="clear" w:color="auto" w:fill="FFFFFF"/>
            <w:vAlign w:val="center"/>
          </w:tcPr>
          <w:p>
            <w:pPr>
              <w:widowControl/>
              <w:spacing w:line="440" w:lineRule="atLeast"/>
              <w:jc w:val="center"/>
              <w:rPr>
                <w:rFonts w:ascii="仿宋" w:hAnsi="仿宋" w:eastAsia="仿宋" w:cs="仿宋"/>
                <w:b/>
                <w:kern w:val="0"/>
                <w:sz w:val="24"/>
              </w:rPr>
            </w:pPr>
            <w:r>
              <w:rPr>
                <w:rFonts w:hint="eastAsia" w:ascii="仿宋" w:hAnsi="仿宋" w:eastAsia="仿宋" w:cs="仿宋"/>
                <w:b/>
                <w:kern w:val="0"/>
                <w:sz w:val="24"/>
              </w:rPr>
              <w:t>2019年基本支出（万元）</w:t>
            </w:r>
          </w:p>
        </w:tc>
        <w:tc>
          <w:tcPr>
            <w:tcW w:w="1560" w:type="dxa"/>
            <w:shd w:val="clear" w:color="auto" w:fill="FFFFFF"/>
            <w:vAlign w:val="center"/>
          </w:tcPr>
          <w:p>
            <w:pPr>
              <w:widowControl/>
              <w:spacing w:line="440" w:lineRule="atLeast"/>
              <w:jc w:val="center"/>
              <w:rPr>
                <w:rFonts w:ascii="仿宋" w:hAnsi="仿宋" w:eastAsia="仿宋" w:cs="仿宋"/>
                <w:b/>
                <w:kern w:val="0"/>
                <w:sz w:val="24"/>
              </w:rPr>
            </w:pPr>
            <w:r>
              <w:rPr>
                <w:rFonts w:hint="eastAsia" w:ascii="仿宋" w:hAnsi="仿宋" w:eastAsia="仿宋" w:cs="仿宋"/>
                <w:b/>
                <w:kern w:val="0"/>
                <w:sz w:val="24"/>
              </w:rPr>
              <w:t>增减额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ascii="仿宋" w:hAnsi="仿宋" w:eastAsia="仿宋" w:cs="仿宋"/>
                <w:b w:val="0"/>
                <w:bCs w:val="0"/>
                <w:kern w:val="0"/>
                <w:sz w:val="24"/>
              </w:rPr>
            </w:pPr>
            <w:r>
              <w:rPr>
                <w:rFonts w:hint="eastAsia" w:ascii="仿宋" w:hAnsi="仿宋" w:eastAsia="仿宋" w:cs="仿宋"/>
                <w:b w:val="0"/>
                <w:bCs w:val="0"/>
                <w:kern w:val="0"/>
                <w:sz w:val="24"/>
              </w:rPr>
              <w:t>1</w:t>
            </w:r>
          </w:p>
        </w:tc>
        <w:tc>
          <w:tcPr>
            <w:tcW w:w="2835" w:type="dxa"/>
            <w:shd w:val="clear" w:color="auto" w:fill="FFFFFF"/>
            <w:vAlign w:val="center"/>
          </w:tcPr>
          <w:p>
            <w:pPr>
              <w:widowControl/>
              <w:jc w:val="left"/>
              <w:rPr>
                <w:rFonts w:ascii="仿宋" w:hAnsi="仿宋" w:eastAsia="仿宋" w:cs="仿宋"/>
                <w:kern w:val="0"/>
                <w:sz w:val="24"/>
              </w:rPr>
            </w:pPr>
            <w:r>
              <w:rPr>
                <w:rFonts w:hint="eastAsia" w:ascii="仿宋" w:hAnsi="仿宋" w:eastAsia="仿宋" w:cs="仿宋"/>
                <w:kern w:val="0"/>
                <w:sz w:val="24"/>
              </w:rPr>
              <w:t>工资福利支出</w:t>
            </w:r>
          </w:p>
        </w:tc>
        <w:tc>
          <w:tcPr>
            <w:tcW w:w="1984" w:type="dxa"/>
            <w:shd w:val="clear" w:color="auto" w:fill="FFFFFF"/>
            <w:tcMar>
              <w:left w:w="108" w:type="dxa"/>
              <w:right w:w="108" w:type="dxa"/>
            </w:tcMar>
            <w:vAlign w:val="center"/>
          </w:tcPr>
          <w:p>
            <w:pPr>
              <w:widowControl/>
              <w:jc w:val="center"/>
              <w:rPr>
                <w:rFonts w:ascii="仿宋" w:hAnsi="仿宋" w:eastAsia="仿宋" w:cs="仿宋"/>
                <w:kern w:val="0"/>
                <w:sz w:val="24"/>
              </w:rPr>
            </w:pPr>
            <w:r>
              <w:rPr>
                <w:rFonts w:hint="eastAsia" w:ascii="仿宋" w:hAnsi="仿宋" w:eastAsia="仿宋" w:cs="仿宋"/>
                <w:sz w:val="24"/>
              </w:rPr>
              <w:t>1297.31</w:t>
            </w:r>
          </w:p>
        </w:tc>
        <w:tc>
          <w:tcPr>
            <w:tcW w:w="1701"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1138.24</w:t>
            </w:r>
          </w:p>
        </w:tc>
        <w:tc>
          <w:tcPr>
            <w:tcW w:w="1560"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159.07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ascii="仿宋" w:hAnsi="仿宋" w:eastAsia="仿宋" w:cs="仿宋"/>
                <w:b w:val="0"/>
                <w:bCs w:val="0"/>
                <w:kern w:val="0"/>
                <w:sz w:val="24"/>
              </w:rPr>
            </w:pPr>
            <w:r>
              <w:rPr>
                <w:rFonts w:hint="eastAsia" w:ascii="仿宋" w:hAnsi="仿宋" w:eastAsia="仿宋" w:cs="仿宋"/>
                <w:b w:val="0"/>
                <w:bCs w:val="0"/>
                <w:kern w:val="0"/>
                <w:sz w:val="24"/>
              </w:rPr>
              <w:t>2</w:t>
            </w:r>
          </w:p>
        </w:tc>
        <w:tc>
          <w:tcPr>
            <w:tcW w:w="2835" w:type="dxa"/>
            <w:shd w:val="clear" w:color="auto" w:fill="FFFFFF"/>
            <w:vAlign w:val="center"/>
          </w:tcPr>
          <w:p>
            <w:pPr>
              <w:widowControl/>
              <w:jc w:val="left"/>
              <w:rPr>
                <w:rFonts w:ascii="仿宋" w:hAnsi="仿宋" w:eastAsia="仿宋" w:cs="仿宋"/>
                <w:kern w:val="0"/>
                <w:sz w:val="24"/>
              </w:rPr>
            </w:pPr>
            <w:r>
              <w:rPr>
                <w:rFonts w:hint="eastAsia" w:ascii="仿宋" w:hAnsi="仿宋" w:eastAsia="仿宋" w:cs="仿宋"/>
                <w:kern w:val="0"/>
                <w:sz w:val="24"/>
              </w:rPr>
              <w:t>商品服务支出</w:t>
            </w:r>
          </w:p>
        </w:tc>
        <w:tc>
          <w:tcPr>
            <w:tcW w:w="1984" w:type="dxa"/>
            <w:shd w:val="clear" w:color="auto" w:fill="FFFFFF"/>
            <w:tcMar>
              <w:left w:w="108" w:type="dxa"/>
              <w:right w:w="108" w:type="dxa"/>
            </w:tcMar>
            <w:vAlign w:val="center"/>
          </w:tcPr>
          <w:p>
            <w:pPr>
              <w:widowControl/>
              <w:jc w:val="center"/>
              <w:rPr>
                <w:rFonts w:ascii="仿宋" w:hAnsi="仿宋" w:eastAsia="仿宋" w:cs="仿宋"/>
                <w:kern w:val="0"/>
                <w:sz w:val="24"/>
              </w:rPr>
            </w:pPr>
            <w:r>
              <w:rPr>
                <w:rFonts w:hint="eastAsia" w:ascii="仿宋" w:hAnsi="仿宋" w:eastAsia="仿宋" w:cs="仿宋"/>
                <w:sz w:val="24"/>
              </w:rPr>
              <w:t>259.53</w:t>
            </w:r>
          </w:p>
        </w:tc>
        <w:tc>
          <w:tcPr>
            <w:tcW w:w="1701"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190.75</w:t>
            </w:r>
          </w:p>
        </w:tc>
        <w:tc>
          <w:tcPr>
            <w:tcW w:w="1560"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68.78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ascii="仿宋" w:hAnsi="仿宋" w:eastAsia="仿宋" w:cs="仿宋"/>
                <w:b w:val="0"/>
                <w:bCs w:val="0"/>
                <w:kern w:val="0"/>
                <w:sz w:val="24"/>
              </w:rPr>
            </w:pPr>
            <w:r>
              <w:rPr>
                <w:rFonts w:hint="eastAsia" w:ascii="仿宋" w:hAnsi="仿宋" w:eastAsia="仿宋" w:cs="仿宋"/>
                <w:b w:val="0"/>
                <w:bCs w:val="0"/>
                <w:kern w:val="0"/>
                <w:sz w:val="24"/>
              </w:rPr>
              <w:t>3</w:t>
            </w:r>
          </w:p>
        </w:tc>
        <w:tc>
          <w:tcPr>
            <w:tcW w:w="2835" w:type="dxa"/>
            <w:shd w:val="clear" w:color="auto" w:fill="FFFFFF"/>
            <w:vAlign w:val="center"/>
          </w:tcPr>
          <w:p>
            <w:pPr>
              <w:widowControl/>
              <w:jc w:val="left"/>
              <w:rPr>
                <w:rFonts w:ascii="仿宋" w:hAnsi="仿宋" w:eastAsia="仿宋" w:cs="仿宋"/>
                <w:kern w:val="0"/>
                <w:sz w:val="24"/>
              </w:rPr>
            </w:pPr>
            <w:r>
              <w:rPr>
                <w:rFonts w:hint="eastAsia" w:ascii="仿宋" w:hAnsi="仿宋" w:eastAsia="仿宋" w:cs="仿宋"/>
                <w:kern w:val="0"/>
                <w:sz w:val="24"/>
              </w:rPr>
              <w:t>对个人与家庭补助支出</w:t>
            </w:r>
          </w:p>
        </w:tc>
        <w:tc>
          <w:tcPr>
            <w:tcW w:w="1984" w:type="dxa"/>
            <w:shd w:val="clear" w:color="auto" w:fill="FFFFFF"/>
            <w:tcMar>
              <w:left w:w="108" w:type="dxa"/>
              <w:right w:w="108" w:type="dxa"/>
            </w:tcMar>
            <w:vAlign w:val="center"/>
          </w:tcPr>
          <w:p>
            <w:pPr>
              <w:widowControl/>
              <w:jc w:val="center"/>
              <w:rPr>
                <w:rFonts w:ascii="仿宋" w:hAnsi="仿宋" w:eastAsia="仿宋" w:cs="仿宋"/>
                <w:kern w:val="0"/>
                <w:sz w:val="24"/>
              </w:rPr>
            </w:pPr>
            <w:r>
              <w:rPr>
                <w:rFonts w:hint="eastAsia" w:ascii="仿宋" w:hAnsi="仿宋" w:eastAsia="仿宋" w:cs="仿宋"/>
                <w:sz w:val="24"/>
              </w:rPr>
              <w:t>189.34</w:t>
            </w:r>
          </w:p>
        </w:tc>
        <w:tc>
          <w:tcPr>
            <w:tcW w:w="1701"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279.64</w:t>
            </w:r>
          </w:p>
        </w:tc>
        <w:tc>
          <w:tcPr>
            <w:tcW w:w="1560"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ascii="仿宋" w:hAnsi="仿宋" w:eastAsia="仿宋" w:cs="仿宋"/>
                <w:b w:val="0"/>
                <w:bCs w:val="0"/>
                <w:kern w:val="0"/>
                <w:sz w:val="24"/>
              </w:rPr>
            </w:pPr>
            <w:r>
              <w:rPr>
                <w:rFonts w:hint="eastAsia" w:ascii="仿宋" w:hAnsi="仿宋" w:eastAsia="仿宋" w:cs="仿宋"/>
                <w:b w:val="0"/>
                <w:bCs w:val="0"/>
                <w:kern w:val="0"/>
                <w:sz w:val="24"/>
              </w:rPr>
              <w:t>4</w:t>
            </w:r>
          </w:p>
        </w:tc>
        <w:tc>
          <w:tcPr>
            <w:tcW w:w="2835" w:type="dxa"/>
            <w:shd w:val="clear" w:color="auto" w:fill="FFFFFF"/>
            <w:vAlign w:val="center"/>
          </w:tcPr>
          <w:p>
            <w:pPr>
              <w:widowControl/>
              <w:jc w:val="left"/>
              <w:rPr>
                <w:rFonts w:ascii="仿宋" w:hAnsi="仿宋" w:eastAsia="仿宋" w:cs="仿宋"/>
                <w:kern w:val="0"/>
                <w:sz w:val="24"/>
              </w:rPr>
            </w:pPr>
            <w:r>
              <w:rPr>
                <w:rFonts w:hint="eastAsia" w:ascii="仿宋" w:hAnsi="仿宋" w:eastAsia="仿宋" w:cs="仿宋"/>
                <w:kern w:val="0"/>
                <w:sz w:val="24"/>
              </w:rPr>
              <w:t>资本性支出</w:t>
            </w:r>
          </w:p>
        </w:tc>
        <w:tc>
          <w:tcPr>
            <w:tcW w:w="1984" w:type="dxa"/>
            <w:shd w:val="clear" w:color="auto" w:fill="FFFFFF"/>
            <w:tcMar>
              <w:left w:w="108" w:type="dxa"/>
              <w:right w:w="108" w:type="dxa"/>
            </w:tcMar>
            <w:vAlign w:val="center"/>
          </w:tcPr>
          <w:p>
            <w:pPr>
              <w:widowControl/>
              <w:tabs>
                <w:tab w:val="center" w:pos="944"/>
                <w:tab w:val="right" w:pos="1768"/>
              </w:tabs>
              <w:jc w:val="center"/>
              <w:rPr>
                <w:rFonts w:ascii="仿宋" w:hAnsi="仿宋" w:eastAsia="仿宋" w:cs="仿宋"/>
                <w:kern w:val="0"/>
                <w:sz w:val="24"/>
              </w:rPr>
            </w:pPr>
            <w:r>
              <w:rPr>
                <w:rFonts w:hint="eastAsia" w:ascii="仿宋" w:hAnsi="仿宋" w:eastAsia="仿宋" w:cs="仿宋"/>
                <w:sz w:val="24"/>
              </w:rPr>
              <w:t>2.22</w:t>
            </w:r>
          </w:p>
        </w:tc>
        <w:tc>
          <w:tcPr>
            <w:tcW w:w="1701"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6.195</w:t>
            </w:r>
          </w:p>
        </w:tc>
        <w:tc>
          <w:tcPr>
            <w:tcW w:w="1560"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ascii="仿宋" w:hAnsi="仿宋" w:eastAsia="仿宋" w:cs="仿宋"/>
                <w:b w:val="0"/>
                <w:bCs w:val="0"/>
                <w:kern w:val="0"/>
                <w:sz w:val="24"/>
              </w:rPr>
            </w:pPr>
            <w:r>
              <w:rPr>
                <w:rFonts w:hint="eastAsia" w:ascii="仿宋" w:hAnsi="仿宋" w:eastAsia="仿宋" w:cs="仿宋"/>
                <w:b w:val="0"/>
                <w:bCs w:val="0"/>
                <w:kern w:val="0"/>
                <w:sz w:val="24"/>
              </w:rPr>
              <w:t>5</w:t>
            </w:r>
          </w:p>
        </w:tc>
        <w:tc>
          <w:tcPr>
            <w:tcW w:w="2835" w:type="dxa"/>
            <w:shd w:val="clear" w:color="auto" w:fill="FFFFFF"/>
            <w:vAlign w:val="center"/>
          </w:tcPr>
          <w:p>
            <w:pPr>
              <w:widowControl/>
              <w:jc w:val="center"/>
              <w:rPr>
                <w:rFonts w:ascii="仿宋" w:hAnsi="仿宋" w:eastAsia="仿宋" w:cs="仿宋"/>
                <w:b/>
                <w:kern w:val="0"/>
                <w:sz w:val="24"/>
              </w:rPr>
            </w:pPr>
            <w:r>
              <w:rPr>
                <w:rFonts w:hint="eastAsia" w:ascii="仿宋" w:hAnsi="仿宋" w:eastAsia="仿宋" w:cs="仿宋"/>
                <w:b/>
                <w:kern w:val="0"/>
                <w:sz w:val="24"/>
              </w:rPr>
              <w:t>合    计</w:t>
            </w:r>
          </w:p>
        </w:tc>
        <w:tc>
          <w:tcPr>
            <w:tcW w:w="1984" w:type="dxa"/>
            <w:shd w:val="clear" w:color="auto" w:fill="FFFFFF"/>
            <w:tcMar>
              <w:left w:w="108" w:type="dxa"/>
              <w:right w:w="108" w:type="dxa"/>
            </w:tcMar>
            <w:vAlign w:val="center"/>
          </w:tcPr>
          <w:p>
            <w:pPr>
              <w:widowControl/>
              <w:jc w:val="center"/>
              <w:rPr>
                <w:rFonts w:ascii="仿宋" w:hAnsi="仿宋" w:eastAsia="仿宋" w:cs="仿宋"/>
                <w:b/>
                <w:kern w:val="0"/>
                <w:sz w:val="24"/>
                <w:highlight w:val="yellow"/>
              </w:rPr>
            </w:pPr>
            <w:r>
              <w:rPr>
                <w:rFonts w:hint="eastAsia" w:ascii="仿宋" w:hAnsi="仿宋" w:eastAsia="仿宋" w:cs="仿宋"/>
                <w:sz w:val="24"/>
              </w:rPr>
              <w:t>1748.38</w:t>
            </w:r>
          </w:p>
        </w:tc>
        <w:tc>
          <w:tcPr>
            <w:tcW w:w="1701"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1614.83</w:t>
            </w:r>
          </w:p>
        </w:tc>
        <w:tc>
          <w:tcPr>
            <w:tcW w:w="1560" w:type="dxa"/>
            <w:shd w:val="clear" w:color="auto" w:fill="FFFFFF"/>
            <w:vAlign w:val="center"/>
          </w:tcPr>
          <w:p>
            <w:pPr>
              <w:widowControl/>
              <w:jc w:val="center"/>
              <w:rPr>
                <w:rFonts w:hint="eastAsia" w:ascii="仿宋" w:hAnsi="仿宋" w:eastAsia="仿宋" w:cs="仿宋"/>
                <w:sz w:val="24"/>
              </w:rPr>
            </w:pPr>
            <w:r>
              <w:rPr>
                <w:rFonts w:hint="eastAsia" w:ascii="仿宋" w:hAnsi="仿宋" w:eastAsia="仿宋" w:cs="仿宋"/>
                <w:sz w:val="24"/>
              </w:rPr>
              <w:t>133.55</w:t>
            </w:r>
          </w:p>
        </w:tc>
      </w:tr>
    </w:tbl>
    <w:p>
      <w:pPr>
        <w:spacing w:line="600" w:lineRule="exact"/>
        <w:rPr>
          <w:rFonts w:ascii="仿宋" w:hAnsi="仿宋" w:eastAsia="仿宋" w:cs="仿宋"/>
          <w:color w:val="FF0000"/>
          <w:sz w:val="24"/>
        </w:rPr>
      </w:pP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（三）项目支出情况</w:t>
      </w:r>
    </w:p>
    <w:p>
      <w:pPr>
        <w:spacing w:line="580" w:lineRule="exact"/>
        <w:ind w:firstLine="646"/>
        <w:rPr>
          <w:rFonts w:ascii="仿宋" w:hAnsi="仿宋" w:eastAsia="仿宋" w:cs="仿宋"/>
          <w:sz w:val="28"/>
          <w:szCs w:val="28"/>
        </w:rPr>
      </w:pPr>
      <w:r>
        <w:rPr>
          <w:rFonts w:hint="eastAsia" w:ascii="仿宋" w:hAnsi="仿宋" w:eastAsia="仿宋" w:cs="仿宋"/>
          <w:sz w:val="28"/>
          <w:szCs w:val="28"/>
        </w:rPr>
        <w:t>2020年度本部门专项资金项目支出1701.23万元，比2019年项目支出2306.64万元减少573.75万元，降低25.22%</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spacing w:line="580" w:lineRule="exact"/>
        <w:ind w:firstLine="562" w:firstLineChars="200"/>
        <w:jc w:val="center"/>
        <w:rPr>
          <w:rFonts w:ascii="仿宋" w:hAnsi="仿宋" w:eastAsia="仿宋" w:cs="仿宋"/>
          <w:b/>
          <w:bCs/>
          <w:sz w:val="28"/>
          <w:szCs w:val="28"/>
        </w:rPr>
      </w:pPr>
      <w:r>
        <w:rPr>
          <w:rFonts w:hint="eastAsia" w:ascii="仿宋" w:hAnsi="仿宋" w:eastAsia="仿宋" w:cs="仿宋"/>
          <w:b/>
          <w:bCs/>
          <w:sz w:val="28"/>
          <w:szCs w:val="28"/>
        </w:rPr>
        <w:t>2019-2020年项目支出对比表</w:t>
      </w:r>
    </w:p>
    <w:tbl>
      <w:tblPr>
        <w:tblStyle w:val="8"/>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04"/>
        <w:gridCol w:w="2268"/>
        <w:gridCol w:w="1985"/>
        <w:gridCol w:w="1989"/>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ind w:left="-317" w:leftChars="-151" w:firstLine="287" w:firstLineChars="119"/>
              <w:jc w:val="center"/>
              <w:rPr>
                <w:rFonts w:ascii="仿宋" w:hAnsi="仿宋" w:eastAsia="仿宋" w:cs="仿宋"/>
                <w:b/>
                <w:sz w:val="24"/>
              </w:rPr>
            </w:pPr>
          </w:p>
          <w:p>
            <w:pPr>
              <w:spacing w:line="440" w:lineRule="atLeast"/>
              <w:ind w:left="-317" w:leftChars="-151" w:firstLine="287" w:firstLineChars="119"/>
              <w:jc w:val="center"/>
              <w:rPr>
                <w:rFonts w:ascii="仿宋" w:hAnsi="仿宋" w:eastAsia="仿宋" w:cs="仿宋"/>
                <w:b/>
                <w:sz w:val="24"/>
              </w:rPr>
            </w:pPr>
            <w:r>
              <w:rPr>
                <w:rFonts w:hint="eastAsia" w:ascii="仿宋" w:hAnsi="仿宋" w:eastAsia="仿宋" w:cs="仿宋"/>
                <w:b/>
                <w:sz w:val="24"/>
              </w:rPr>
              <w:t>序号</w:t>
            </w:r>
          </w:p>
        </w:tc>
        <w:tc>
          <w:tcPr>
            <w:tcW w:w="2268" w:type="dxa"/>
            <w:shd w:val="clear" w:color="auto" w:fill="FFFFFF"/>
          </w:tcPr>
          <w:p>
            <w:pPr>
              <w:spacing w:line="440" w:lineRule="atLeast"/>
              <w:jc w:val="center"/>
              <w:rPr>
                <w:rFonts w:ascii="仿宋" w:hAnsi="仿宋" w:eastAsia="仿宋" w:cs="仿宋"/>
                <w:b/>
                <w:sz w:val="24"/>
              </w:rPr>
            </w:pPr>
            <w:r>
              <w:rPr>
                <w:rFonts w:hint="eastAsia" w:ascii="仿宋" w:hAnsi="仿宋" w:eastAsia="仿宋" w:cs="仿宋"/>
                <w:b/>
                <w:sz w:val="24"/>
              </w:rPr>
              <w:t>支出项目</w:t>
            </w:r>
          </w:p>
        </w:tc>
        <w:tc>
          <w:tcPr>
            <w:tcW w:w="1985" w:type="dxa"/>
            <w:shd w:val="clear" w:color="auto" w:fill="FFFFFF"/>
            <w:tcMar>
              <w:left w:w="108" w:type="dxa"/>
              <w:right w:w="108" w:type="dxa"/>
            </w:tcMar>
          </w:tcPr>
          <w:p>
            <w:pPr>
              <w:spacing w:line="440" w:lineRule="atLeast"/>
              <w:jc w:val="center"/>
              <w:rPr>
                <w:rFonts w:ascii="仿宋" w:hAnsi="仿宋" w:eastAsia="仿宋" w:cs="仿宋"/>
                <w:b/>
                <w:sz w:val="24"/>
              </w:rPr>
            </w:pPr>
            <w:r>
              <w:rPr>
                <w:rFonts w:hint="eastAsia" w:ascii="仿宋" w:hAnsi="仿宋" w:eastAsia="仿宋" w:cs="仿宋"/>
                <w:b/>
                <w:sz w:val="24"/>
              </w:rPr>
              <w:t>2019年项目支出（万元）</w:t>
            </w:r>
          </w:p>
        </w:tc>
        <w:tc>
          <w:tcPr>
            <w:tcW w:w="1989" w:type="dxa"/>
            <w:shd w:val="clear" w:color="auto" w:fill="FFFFFF"/>
          </w:tcPr>
          <w:p>
            <w:pPr>
              <w:spacing w:line="440" w:lineRule="atLeast"/>
              <w:jc w:val="center"/>
              <w:rPr>
                <w:rFonts w:ascii="仿宋" w:hAnsi="仿宋" w:eastAsia="仿宋" w:cs="仿宋"/>
                <w:b/>
                <w:sz w:val="24"/>
              </w:rPr>
            </w:pPr>
            <w:r>
              <w:rPr>
                <w:rFonts w:hint="eastAsia" w:ascii="仿宋" w:hAnsi="仿宋" w:eastAsia="仿宋" w:cs="仿宋"/>
                <w:b/>
                <w:sz w:val="24"/>
              </w:rPr>
              <w:t>2020年项目支出（万元）</w:t>
            </w:r>
          </w:p>
        </w:tc>
        <w:tc>
          <w:tcPr>
            <w:tcW w:w="1801" w:type="dxa"/>
            <w:shd w:val="clear" w:color="auto" w:fill="FFFFFF"/>
          </w:tcPr>
          <w:p>
            <w:pPr>
              <w:spacing w:line="440" w:lineRule="atLeast"/>
              <w:jc w:val="center"/>
              <w:rPr>
                <w:rFonts w:ascii="仿宋" w:hAnsi="仿宋" w:eastAsia="仿宋" w:cs="仿宋"/>
                <w:b/>
                <w:sz w:val="24"/>
              </w:rPr>
            </w:pPr>
            <w:r>
              <w:rPr>
                <w:rFonts w:hint="eastAsia" w:ascii="仿宋" w:hAnsi="仿宋" w:eastAsia="仿宋" w:cs="仿宋"/>
                <w:b/>
                <w:sz w:val="24"/>
              </w:rPr>
              <w:t>增减额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ascii="仿宋" w:hAnsi="仿宋" w:eastAsia="仿宋" w:cs="仿宋"/>
                <w:sz w:val="24"/>
              </w:rPr>
            </w:pPr>
            <w:r>
              <w:rPr>
                <w:rFonts w:hint="eastAsia" w:ascii="仿宋" w:hAnsi="仿宋" w:eastAsia="仿宋" w:cs="仿宋"/>
                <w:sz w:val="24"/>
              </w:rPr>
              <w:t>1</w:t>
            </w:r>
          </w:p>
        </w:tc>
        <w:tc>
          <w:tcPr>
            <w:tcW w:w="2268" w:type="dxa"/>
            <w:shd w:val="clear" w:color="auto" w:fill="FFFFFF"/>
          </w:tcPr>
          <w:p>
            <w:pPr>
              <w:spacing w:line="440" w:lineRule="atLeast"/>
              <w:jc w:val="left"/>
              <w:rPr>
                <w:rFonts w:ascii="仿宋" w:hAnsi="仿宋" w:eastAsia="仿宋" w:cs="仿宋"/>
                <w:sz w:val="24"/>
              </w:rPr>
            </w:pPr>
            <w:r>
              <w:rPr>
                <w:rFonts w:hint="eastAsia" w:ascii="仿宋" w:hAnsi="仿宋" w:eastAsia="仿宋" w:cs="仿宋"/>
                <w:sz w:val="24"/>
              </w:rPr>
              <w:t>工资福利支出</w:t>
            </w:r>
          </w:p>
        </w:tc>
        <w:tc>
          <w:tcPr>
            <w:tcW w:w="1985" w:type="dxa"/>
            <w:shd w:val="clear" w:color="auto" w:fill="FFFFFF"/>
            <w:tcMar>
              <w:left w:w="108" w:type="dxa"/>
              <w:right w:w="108" w:type="dxa"/>
            </w:tcMar>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c>
          <w:tcPr>
            <w:tcW w:w="1989"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c>
          <w:tcPr>
            <w:tcW w:w="1801"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ascii="仿宋" w:hAnsi="仿宋" w:eastAsia="仿宋" w:cs="仿宋"/>
                <w:sz w:val="24"/>
              </w:rPr>
            </w:pPr>
            <w:r>
              <w:rPr>
                <w:rFonts w:hint="eastAsia" w:ascii="仿宋" w:hAnsi="仿宋" w:eastAsia="仿宋" w:cs="仿宋"/>
                <w:sz w:val="24"/>
              </w:rPr>
              <w:t>2</w:t>
            </w:r>
          </w:p>
        </w:tc>
        <w:tc>
          <w:tcPr>
            <w:tcW w:w="2268" w:type="dxa"/>
            <w:shd w:val="clear" w:color="auto" w:fill="FFFFFF"/>
          </w:tcPr>
          <w:p>
            <w:pPr>
              <w:spacing w:line="440" w:lineRule="atLeast"/>
              <w:jc w:val="left"/>
              <w:rPr>
                <w:rFonts w:ascii="仿宋" w:hAnsi="仿宋" w:eastAsia="仿宋" w:cs="仿宋"/>
                <w:sz w:val="24"/>
              </w:rPr>
            </w:pPr>
            <w:r>
              <w:rPr>
                <w:rFonts w:hint="eastAsia" w:ascii="仿宋" w:hAnsi="仿宋" w:eastAsia="仿宋" w:cs="仿宋"/>
                <w:sz w:val="24"/>
              </w:rPr>
              <w:t>商品服务支出</w:t>
            </w:r>
          </w:p>
        </w:tc>
        <w:tc>
          <w:tcPr>
            <w:tcW w:w="1985" w:type="dxa"/>
            <w:shd w:val="clear" w:color="auto" w:fill="FFFFFF"/>
            <w:tcMar>
              <w:left w:w="108" w:type="dxa"/>
              <w:right w:w="108" w:type="dxa"/>
            </w:tcMar>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2174.98</w:t>
            </w:r>
          </w:p>
        </w:tc>
        <w:tc>
          <w:tcPr>
            <w:tcW w:w="1989"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1543.15</w:t>
            </w:r>
          </w:p>
        </w:tc>
        <w:tc>
          <w:tcPr>
            <w:tcW w:w="1801"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-631.83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ascii="仿宋" w:hAnsi="仿宋" w:eastAsia="仿宋" w:cs="仿宋"/>
                <w:sz w:val="24"/>
              </w:rPr>
            </w:pPr>
            <w:r>
              <w:rPr>
                <w:rFonts w:hint="eastAsia" w:ascii="仿宋" w:hAnsi="仿宋" w:eastAsia="仿宋" w:cs="仿宋"/>
                <w:sz w:val="24"/>
              </w:rPr>
              <w:t>3</w:t>
            </w:r>
          </w:p>
        </w:tc>
        <w:tc>
          <w:tcPr>
            <w:tcW w:w="2268" w:type="dxa"/>
            <w:shd w:val="clear" w:color="auto" w:fill="FFFFFF"/>
          </w:tcPr>
          <w:p>
            <w:pPr>
              <w:spacing w:line="440" w:lineRule="atLeast"/>
              <w:jc w:val="left"/>
              <w:rPr>
                <w:rFonts w:ascii="仿宋" w:hAnsi="仿宋" w:eastAsia="仿宋" w:cs="仿宋"/>
                <w:sz w:val="24"/>
              </w:rPr>
            </w:pPr>
            <w:r>
              <w:rPr>
                <w:rFonts w:hint="eastAsia" w:ascii="仿宋" w:hAnsi="仿宋" w:eastAsia="仿宋" w:cs="仿宋"/>
                <w:sz w:val="24"/>
              </w:rPr>
              <w:t>对个人和家庭的补助</w:t>
            </w:r>
          </w:p>
        </w:tc>
        <w:tc>
          <w:tcPr>
            <w:tcW w:w="1985" w:type="dxa"/>
            <w:shd w:val="clear" w:color="auto" w:fill="FFFFFF"/>
            <w:tcMar>
              <w:left w:w="108" w:type="dxa"/>
              <w:right w:w="108" w:type="dxa"/>
            </w:tcMar>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c>
          <w:tcPr>
            <w:tcW w:w="1989"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c>
          <w:tcPr>
            <w:tcW w:w="1801"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4</w:t>
            </w:r>
          </w:p>
        </w:tc>
        <w:tc>
          <w:tcPr>
            <w:tcW w:w="2268" w:type="dxa"/>
            <w:shd w:val="clear" w:color="auto" w:fill="FFFFFF"/>
          </w:tcPr>
          <w:p>
            <w:pPr>
              <w:spacing w:line="440" w:lineRule="atLeast"/>
              <w:jc w:val="left"/>
              <w:rPr>
                <w:rFonts w:ascii="仿宋" w:hAnsi="仿宋" w:eastAsia="仿宋" w:cs="仿宋"/>
                <w:sz w:val="24"/>
              </w:rPr>
            </w:pPr>
            <w:r>
              <w:rPr>
                <w:rFonts w:hint="eastAsia" w:ascii="仿宋" w:hAnsi="仿宋" w:eastAsia="仿宋" w:cs="仿宋"/>
                <w:sz w:val="24"/>
              </w:rPr>
              <w:t>资本性支出</w:t>
            </w:r>
          </w:p>
        </w:tc>
        <w:tc>
          <w:tcPr>
            <w:tcW w:w="1985" w:type="dxa"/>
            <w:shd w:val="clear" w:color="auto" w:fill="FFFFFF"/>
            <w:tcMar>
              <w:left w:w="108" w:type="dxa"/>
              <w:right w:w="108" w:type="dxa"/>
            </w:tcMar>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c>
          <w:tcPr>
            <w:tcW w:w="1989"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158.08</w:t>
            </w:r>
          </w:p>
        </w:tc>
        <w:tc>
          <w:tcPr>
            <w:tcW w:w="1801"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158.08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2268" w:type="dxa"/>
            <w:shd w:val="clear" w:color="auto" w:fill="FFFFFF"/>
          </w:tcPr>
          <w:p>
            <w:pPr>
              <w:spacing w:line="440" w:lineRule="atLeast"/>
              <w:jc w:val="left"/>
              <w:rPr>
                <w:rFonts w:ascii="仿宋" w:hAnsi="仿宋" w:eastAsia="仿宋" w:cs="仿宋"/>
                <w:sz w:val="24"/>
              </w:rPr>
            </w:pPr>
            <w:r>
              <w:rPr>
                <w:rFonts w:hint="eastAsia" w:ascii="仿宋" w:hAnsi="仿宋" w:eastAsia="仿宋" w:cs="仿宋"/>
                <w:sz w:val="24"/>
              </w:rPr>
              <w:t>对企业补助</w:t>
            </w:r>
          </w:p>
        </w:tc>
        <w:tc>
          <w:tcPr>
            <w:tcW w:w="1985" w:type="dxa"/>
            <w:shd w:val="clear" w:color="auto" w:fill="FFFFFF"/>
            <w:tcMar>
              <w:left w:w="108" w:type="dxa"/>
              <w:right w:w="108" w:type="dxa"/>
            </w:tcMar>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c>
          <w:tcPr>
            <w:tcW w:w="1989"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c>
          <w:tcPr>
            <w:tcW w:w="1801"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704" w:type="dxa"/>
            <w:shd w:val="clear" w:color="auto" w:fill="FFFFFF"/>
            <w:tcMar>
              <w:left w:w="108" w:type="dxa"/>
              <w:right w:w="108" w:type="dxa"/>
            </w:tcMar>
          </w:tcPr>
          <w:p>
            <w:pPr>
              <w:spacing w:line="440" w:lineRule="atLeast"/>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2268" w:type="dxa"/>
            <w:shd w:val="clear" w:color="auto" w:fill="FFFFFF"/>
          </w:tcPr>
          <w:p>
            <w:pPr>
              <w:spacing w:line="440" w:lineRule="atLeast"/>
              <w:jc w:val="left"/>
              <w:rPr>
                <w:rFonts w:ascii="仿宋" w:hAnsi="仿宋" w:eastAsia="仿宋" w:cs="仿宋"/>
                <w:sz w:val="24"/>
              </w:rPr>
            </w:pPr>
            <w:r>
              <w:rPr>
                <w:rFonts w:hint="eastAsia" w:ascii="仿宋" w:hAnsi="仿宋" w:eastAsia="仿宋" w:cs="仿宋"/>
                <w:sz w:val="24"/>
              </w:rPr>
              <w:t>农林水支出</w:t>
            </w:r>
          </w:p>
        </w:tc>
        <w:tc>
          <w:tcPr>
            <w:tcW w:w="1985" w:type="dxa"/>
            <w:shd w:val="clear" w:color="auto" w:fill="FFFFFF"/>
            <w:tcMar>
              <w:left w:w="108" w:type="dxa"/>
              <w:right w:w="108" w:type="dxa"/>
            </w:tcMar>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100.00</w:t>
            </w:r>
          </w:p>
        </w:tc>
        <w:tc>
          <w:tcPr>
            <w:tcW w:w="1989"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0</w:t>
            </w:r>
          </w:p>
        </w:tc>
        <w:tc>
          <w:tcPr>
            <w:tcW w:w="1801"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704" w:type="dxa"/>
            <w:shd w:val="clear" w:color="auto" w:fill="FFFFFF"/>
            <w:tcMar>
              <w:left w:w="108" w:type="dxa"/>
              <w:right w:w="108" w:type="dxa"/>
            </w:tcMar>
          </w:tcPr>
          <w:p>
            <w:pPr>
              <w:spacing w:line="440" w:lineRule="atLeast"/>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2268" w:type="dxa"/>
            <w:shd w:val="clear" w:color="auto" w:fill="FFFFFF"/>
          </w:tcPr>
          <w:p>
            <w:pPr>
              <w:spacing w:line="440" w:lineRule="atLeast"/>
              <w:jc w:val="center"/>
              <w:rPr>
                <w:rFonts w:ascii="仿宋" w:hAnsi="仿宋" w:eastAsia="仿宋" w:cs="仿宋"/>
                <w:sz w:val="24"/>
              </w:rPr>
            </w:pPr>
            <w:r>
              <w:rPr>
                <w:rFonts w:hint="eastAsia" w:ascii="仿宋" w:hAnsi="仿宋" w:eastAsia="仿宋" w:cs="仿宋"/>
                <w:sz w:val="24"/>
              </w:rPr>
              <w:t>合    计</w:t>
            </w:r>
          </w:p>
        </w:tc>
        <w:tc>
          <w:tcPr>
            <w:tcW w:w="1985" w:type="dxa"/>
            <w:shd w:val="clear" w:color="auto" w:fill="FFFFFF"/>
            <w:tcMar>
              <w:left w:w="108" w:type="dxa"/>
              <w:right w:w="108" w:type="dxa"/>
            </w:tcMar>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2274.98</w:t>
            </w:r>
          </w:p>
        </w:tc>
        <w:tc>
          <w:tcPr>
            <w:tcW w:w="1989"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1701.23</w:t>
            </w:r>
          </w:p>
        </w:tc>
        <w:tc>
          <w:tcPr>
            <w:tcW w:w="1801" w:type="dxa"/>
            <w:shd w:val="clear" w:color="auto" w:fill="FFFFFF"/>
            <w:vAlign w:val="center"/>
          </w:tcPr>
          <w:p>
            <w:pPr>
              <w:widowControl/>
              <w:jc w:val="center"/>
              <w:textAlignment w:val="bottom"/>
              <w:rPr>
                <w:rFonts w:ascii="仿宋" w:hAnsi="仿宋" w:eastAsia="仿宋" w:cs="仿宋"/>
                <w:color w:val="000000"/>
                <w:kern w:val="0"/>
                <w:sz w:val="22"/>
                <w:szCs w:val="22"/>
              </w:rPr>
            </w:pPr>
            <w:r>
              <w:rPr>
                <w:rFonts w:hint="eastAsia" w:ascii="仿宋" w:hAnsi="仿宋" w:eastAsia="仿宋" w:cs="仿宋"/>
                <w:color w:val="000000"/>
                <w:kern w:val="0"/>
                <w:sz w:val="22"/>
                <w:szCs w:val="22"/>
              </w:rPr>
              <w:t>-573.75</w:t>
            </w:r>
          </w:p>
        </w:tc>
      </w:tr>
    </w:tbl>
    <w:p>
      <w:pPr>
        <w:spacing w:line="580" w:lineRule="exact"/>
        <w:ind w:firstLine="615"/>
        <w:jc w:val="center"/>
        <w:rPr>
          <w:rFonts w:ascii="仿宋" w:hAnsi="仿宋" w:eastAsia="仿宋" w:cs="仿宋"/>
          <w:b/>
          <w:sz w:val="24"/>
        </w:rPr>
      </w:pPr>
      <w:bookmarkStart w:id="10" w:name="_Hlk12731250"/>
      <w:r>
        <w:rPr>
          <w:rFonts w:hint="eastAsia" w:ascii="仿宋" w:hAnsi="仿宋" w:eastAsia="仿宋" w:cs="仿宋"/>
          <w:b/>
          <w:sz w:val="24"/>
        </w:rPr>
        <w:t xml:space="preserve">                                                     </w:t>
      </w:r>
    </w:p>
    <w:p>
      <w:pPr>
        <w:spacing w:line="580" w:lineRule="exact"/>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2019年与2020项目支出明细对比情况表</w:t>
      </w:r>
    </w:p>
    <w:tbl>
      <w:tblPr>
        <w:tblStyle w:val="9"/>
        <w:tblW w:w="8929"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49"/>
        <w:gridCol w:w="2430"/>
        <w:gridCol w:w="2166"/>
        <w:gridCol w:w="1959"/>
        <w:gridCol w:w="17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20" w:hRule="atLeast"/>
        </w:trPr>
        <w:tc>
          <w:tcPr>
            <w:tcW w:w="6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sz w:val="21"/>
                <w:szCs w:val="21"/>
              </w:rPr>
            </w:pPr>
            <w:r>
              <w:rPr>
                <w:rFonts w:hint="eastAsia" w:ascii="仿宋" w:hAnsi="仿宋" w:eastAsia="仿宋" w:cs="仿宋"/>
                <w:b/>
                <w:bCs/>
                <w:sz w:val="21"/>
                <w:szCs w:val="21"/>
              </w:rPr>
              <w:t>序号</w:t>
            </w:r>
          </w:p>
        </w:tc>
        <w:tc>
          <w:tcPr>
            <w:tcW w:w="24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sz w:val="21"/>
                <w:szCs w:val="21"/>
              </w:rPr>
            </w:pPr>
            <w:r>
              <w:rPr>
                <w:rFonts w:hint="eastAsia" w:ascii="仿宋" w:hAnsi="仿宋" w:eastAsia="仿宋" w:cs="仿宋"/>
                <w:b/>
                <w:bCs/>
                <w:sz w:val="21"/>
                <w:szCs w:val="21"/>
              </w:rPr>
              <w:t>项目</w:t>
            </w:r>
          </w:p>
        </w:tc>
        <w:tc>
          <w:tcPr>
            <w:tcW w:w="585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仿宋" w:hAnsi="仿宋" w:eastAsia="仿宋" w:cs="仿宋"/>
                <w:b/>
                <w:bCs/>
                <w:sz w:val="21"/>
                <w:szCs w:val="21"/>
              </w:rPr>
            </w:pPr>
            <w:r>
              <w:rPr>
                <w:rFonts w:hint="eastAsia" w:ascii="仿宋" w:hAnsi="仿宋" w:eastAsia="仿宋" w:cs="仿宋"/>
                <w:b/>
                <w:bCs/>
                <w:sz w:val="21"/>
                <w:szCs w:val="21"/>
              </w:rPr>
              <w:t>实际支出金额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649" w:type="dxa"/>
            <w:vMerge w:val="continue"/>
          </w:tcPr>
          <w:p>
            <w:pPr>
              <w:spacing w:line="580" w:lineRule="exact"/>
              <w:rPr>
                <w:rFonts w:ascii="仿宋" w:hAnsi="仿宋" w:eastAsia="仿宋" w:cs="仿宋"/>
                <w:b/>
                <w:bCs/>
                <w:sz w:val="21"/>
                <w:szCs w:val="21"/>
              </w:rPr>
            </w:pPr>
          </w:p>
        </w:tc>
        <w:tc>
          <w:tcPr>
            <w:tcW w:w="2430" w:type="dxa"/>
            <w:vMerge w:val="continue"/>
          </w:tcPr>
          <w:p>
            <w:pPr>
              <w:spacing w:line="580" w:lineRule="exact"/>
              <w:rPr>
                <w:rFonts w:ascii="仿宋" w:hAnsi="仿宋" w:eastAsia="仿宋" w:cs="仿宋"/>
                <w:b/>
                <w:bCs/>
                <w:sz w:val="21"/>
                <w:szCs w:val="21"/>
              </w:rPr>
            </w:pPr>
          </w:p>
        </w:tc>
        <w:tc>
          <w:tcPr>
            <w:tcW w:w="2166" w:type="dxa"/>
          </w:tcPr>
          <w:p>
            <w:pPr>
              <w:jc w:val="center"/>
              <w:rPr>
                <w:rFonts w:ascii="仿宋" w:hAnsi="仿宋" w:eastAsia="仿宋" w:cs="仿宋"/>
                <w:b/>
                <w:bCs/>
                <w:sz w:val="21"/>
                <w:szCs w:val="21"/>
              </w:rPr>
            </w:pPr>
            <w:r>
              <w:rPr>
                <w:rFonts w:hint="eastAsia" w:ascii="仿宋" w:hAnsi="仿宋" w:eastAsia="仿宋" w:cs="仿宋"/>
                <w:b/>
                <w:bCs/>
                <w:sz w:val="21"/>
                <w:szCs w:val="21"/>
              </w:rPr>
              <w:t>2019年</w:t>
            </w:r>
            <w:r>
              <w:rPr>
                <w:rFonts w:hint="eastAsia" w:ascii="仿宋" w:hAnsi="仿宋" w:eastAsia="仿宋" w:cs="仿宋"/>
                <w:b/>
                <w:sz w:val="21"/>
                <w:szCs w:val="21"/>
              </w:rPr>
              <w:t>（万元）</w:t>
            </w:r>
          </w:p>
        </w:tc>
        <w:tc>
          <w:tcPr>
            <w:tcW w:w="1959" w:type="dxa"/>
          </w:tcPr>
          <w:p>
            <w:pPr>
              <w:jc w:val="center"/>
              <w:rPr>
                <w:rFonts w:ascii="仿宋" w:hAnsi="仿宋" w:eastAsia="仿宋" w:cs="仿宋"/>
                <w:b/>
                <w:bCs/>
                <w:sz w:val="21"/>
                <w:szCs w:val="21"/>
              </w:rPr>
            </w:pPr>
            <w:r>
              <w:rPr>
                <w:rFonts w:hint="eastAsia" w:ascii="仿宋" w:hAnsi="仿宋" w:eastAsia="仿宋" w:cs="仿宋"/>
                <w:b/>
                <w:bCs/>
                <w:sz w:val="21"/>
                <w:szCs w:val="21"/>
              </w:rPr>
              <w:t>2020年</w:t>
            </w:r>
            <w:r>
              <w:rPr>
                <w:rFonts w:hint="eastAsia" w:ascii="仿宋" w:hAnsi="仿宋" w:eastAsia="仿宋" w:cs="仿宋"/>
                <w:b/>
                <w:sz w:val="21"/>
                <w:szCs w:val="21"/>
              </w:rPr>
              <w:t>（万元）</w:t>
            </w:r>
          </w:p>
        </w:tc>
        <w:tc>
          <w:tcPr>
            <w:tcW w:w="1725" w:type="dxa"/>
          </w:tcPr>
          <w:p>
            <w:pPr>
              <w:ind w:right="8" w:rightChars="4"/>
              <w:jc w:val="center"/>
              <w:rPr>
                <w:rFonts w:ascii="仿宋" w:hAnsi="仿宋" w:eastAsia="仿宋" w:cs="仿宋"/>
                <w:b/>
                <w:bCs/>
                <w:sz w:val="21"/>
                <w:szCs w:val="21"/>
              </w:rPr>
            </w:pPr>
            <w:r>
              <w:rPr>
                <w:rFonts w:hint="eastAsia" w:ascii="仿宋" w:hAnsi="仿宋" w:eastAsia="仿宋" w:cs="仿宋"/>
                <w:b/>
                <w:bCs/>
                <w:sz w:val="21"/>
                <w:szCs w:val="21"/>
              </w:rPr>
              <w:t>决算增减情况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w:t>
            </w:r>
          </w:p>
        </w:tc>
        <w:tc>
          <w:tcPr>
            <w:tcW w:w="2430" w:type="dxa"/>
          </w:tcPr>
          <w:p>
            <w:pPr>
              <w:spacing w:line="440" w:lineRule="atLeast"/>
              <w:rPr>
                <w:rFonts w:ascii="仿宋" w:hAnsi="仿宋" w:eastAsia="仿宋" w:cs="仿宋"/>
                <w:sz w:val="21"/>
                <w:szCs w:val="21"/>
              </w:rPr>
            </w:pPr>
            <w:r>
              <w:rPr>
                <w:rFonts w:hint="eastAsia" w:ascii="仿宋" w:hAnsi="仿宋" w:eastAsia="仿宋" w:cs="仿宋"/>
                <w:sz w:val="21"/>
                <w:szCs w:val="21"/>
              </w:rPr>
              <w:t>职工养老基本医疗保险</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0</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kern w:val="0"/>
                <w:sz w:val="21"/>
                <w:szCs w:val="21"/>
              </w:rPr>
              <w:t>0</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2</w:t>
            </w:r>
          </w:p>
        </w:tc>
        <w:tc>
          <w:tcPr>
            <w:tcW w:w="2430" w:type="dxa"/>
          </w:tcPr>
          <w:p>
            <w:pPr>
              <w:spacing w:line="440" w:lineRule="atLeast"/>
              <w:rPr>
                <w:rFonts w:ascii="仿宋" w:hAnsi="仿宋" w:eastAsia="仿宋" w:cs="仿宋"/>
                <w:sz w:val="21"/>
                <w:szCs w:val="21"/>
              </w:rPr>
            </w:pPr>
            <w:r>
              <w:rPr>
                <w:rFonts w:hint="eastAsia" w:ascii="仿宋" w:hAnsi="仿宋" w:eastAsia="仿宋" w:cs="仿宋"/>
                <w:sz w:val="21"/>
                <w:szCs w:val="21"/>
              </w:rPr>
              <w:t>住房公积金</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0</w:t>
            </w:r>
          </w:p>
        </w:tc>
        <w:tc>
          <w:tcPr>
            <w:tcW w:w="1959" w:type="dxa"/>
            <w:vAlign w:val="center"/>
          </w:tcPr>
          <w:p>
            <w:pPr>
              <w:spacing w:line="440" w:lineRule="atLeast"/>
              <w:jc w:val="center"/>
              <w:rPr>
                <w:rFonts w:ascii="仿宋" w:hAnsi="仿宋" w:eastAsia="仿宋" w:cs="仿宋"/>
                <w:sz w:val="21"/>
                <w:szCs w:val="21"/>
              </w:rPr>
            </w:pPr>
            <w:r>
              <w:rPr>
                <w:rFonts w:hint="eastAsia" w:ascii="仿宋" w:hAnsi="仿宋" w:eastAsia="仿宋" w:cs="仿宋"/>
                <w:sz w:val="21"/>
                <w:szCs w:val="21"/>
              </w:rPr>
              <w:t>0</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9"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3</w:t>
            </w:r>
          </w:p>
        </w:tc>
        <w:tc>
          <w:tcPr>
            <w:tcW w:w="2430" w:type="dxa"/>
          </w:tcPr>
          <w:p>
            <w:pPr>
              <w:spacing w:line="440" w:lineRule="atLeast"/>
              <w:rPr>
                <w:rFonts w:ascii="仿宋" w:hAnsi="仿宋" w:eastAsia="仿宋" w:cs="仿宋"/>
                <w:sz w:val="21"/>
                <w:szCs w:val="21"/>
              </w:rPr>
            </w:pPr>
            <w:r>
              <w:rPr>
                <w:rFonts w:hint="eastAsia" w:ascii="仿宋" w:hAnsi="仿宋" w:eastAsia="仿宋" w:cs="仿宋"/>
                <w:bCs/>
                <w:sz w:val="21"/>
                <w:szCs w:val="21"/>
              </w:rPr>
              <w:t>办公费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55.95</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57.16</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4</w:t>
            </w:r>
          </w:p>
        </w:tc>
        <w:tc>
          <w:tcPr>
            <w:tcW w:w="2430" w:type="dxa"/>
          </w:tcPr>
          <w:p>
            <w:pPr>
              <w:spacing w:line="440" w:lineRule="atLeast"/>
              <w:rPr>
                <w:rFonts w:ascii="仿宋" w:hAnsi="仿宋" w:eastAsia="仿宋" w:cs="仿宋"/>
                <w:sz w:val="21"/>
                <w:szCs w:val="21"/>
              </w:rPr>
            </w:pPr>
            <w:r>
              <w:rPr>
                <w:rFonts w:hint="eastAsia" w:ascii="仿宋" w:hAnsi="仿宋" w:eastAsia="仿宋" w:cs="仿宋"/>
                <w:bCs/>
                <w:sz w:val="21"/>
                <w:szCs w:val="21"/>
              </w:rPr>
              <w:t>印刷费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58.73</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82.10</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23.37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 xml:space="preserve"> 5</w:t>
            </w:r>
          </w:p>
        </w:tc>
        <w:tc>
          <w:tcPr>
            <w:tcW w:w="2430" w:type="dxa"/>
          </w:tcPr>
          <w:p>
            <w:pPr>
              <w:spacing w:line="440" w:lineRule="atLeast"/>
              <w:rPr>
                <w:rFonts w:ascii="仿宋" w:hAnsi="仿宋" w:eastAsia="仿宋" w:cs="仿宋"/>
                <w:sz w:val="21"/>
                <w:szCs w:val="21"/>
              </w:rPr>
            </w:pPr>
            <w:r>
              <w:rPr>
                <w:rFonts w:hint="eastAsia" w:ascii="仿宋" w:hAnsi="仿宋" w:eastAsia="仿宋" w:cs="仿宋"/>
                <w:bCs/>
                <w:sz w:val="21"/>
                <w:szCs w:val="21"/>
              </w:rPr>
              <w:t>咨询费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24.13</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439.97</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415.84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6</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水费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1.19</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0.28</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-0.91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7</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电费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7.32</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8.02</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0.7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8</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邮电费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6.58</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5.33</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9</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物业管理费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0.19</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2.73</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2.54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10</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差旅费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105.15</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144.75</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39.6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11</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因公出国费用</w:t>
            </w:r>
          </w:p>
        </w:tc>
        <w:tc>
          <w:tcPr>
            <w:tcW w:w="2166" w:type="dxa"/>
            <w:vAlign w:val="center"/>
          </w:tcPr>
          <w:p>
            <w:pPr>
              <w:widowControl/>
              <w:jc w:val="center"/>
              <w:rPr>
                <w:rFonts w:hint="eastAsia" w:ascii="仿宋" w:hAnsi="仿宋" w:eastAsia="仿宋" w:cs="仿宋"/>
                <w:color w:val="000000"/>
                <w:sz w:val="21"/>
                <w:szCs w:val="21"/>
              </w:rPr>
            </w:pPr>
          </w:p>
        </w:tc>
        <w:tc>
          <w:tcPr>
            <w:tcW w:w="1959" w:type="dxa"/>
            <w:vAlign w:val="center"/>
          </w:tcPr>
          <w:p>
            <w:pPr>
              <w:spacing w:line="440" w:lineRule="atLeast"/>
              <w:jc w:val="center"/>
              <w:rPr>
                <w:rFonts w:ascii="仿宋" w:hAnsi="仿宋" w:eastAsia="仿宋" w:cs="仿宋"/>
                <w:sz w:val="21"/>
                <w:szCs w:val="21"/>
              </w:rPr>
            </w:pPr>
          </w:p>
        </w:tc>
        <w:tc>
          <w:tcPr>
            <w:tcW w:w="1725" w:type="dxa"/>
            <w:vAlign w:val="center"/>
          </w:tcPr>
          <w:p>
            <w:pPr>
              <w:widowControl/>
              <w:jc w:val="center"/>
              <w:rPr>
                <w:rFonts w:hint="eastAsia" w:ascii="仿宋" w:hAnsi="仿宋" w:eastAsia="仿宋" w:cs="仿宋"/>
                <w:color w:val="000000"/>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12</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维修费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12.31</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6.45</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-5.86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13</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手续费</w:t>
            </w:r>
          </w:p>
        </w:tc>
        <w:tc>
          <w:tcPr>
            <w:tcW w:w="2166" w:type="dxa"/>
            <w:vAlign w:val="center"/>
          </w:tcPr>
          <w:p>
            <w:pPr>
              <w:widowControl/>
              <w:jc w:val="center"/>
              <w:rPr>
                <w:rFonts w:hint="eastAsia" w:ascii="仿宋" w:hAnsi="仿宋" w:eastAsia="仿宋" w:cs="仿宋"/>
                <w:color w:val="000000"/>
                <w:sz w:val="21"/>
                <w:szCs w:val="21"/>
              </w:rPr>
            </w:pPr>
          </w:p>
        </w:tc>
        <w:tc>
          <w:tcPr>
            <w:tcW w:w="1959" w:type="dxa"/>
            <w:vAlign w:val="center"/>
          </w:tcPr>
          <w:p>
            <w:pPr>
              <w:spacing w:line="440" w:lineRule="atLeast"/>
              <w:jc w:val="center"/>
              <w:rPr>
                <w:rFonts w:ascii="仿宋" w:hAnsi="仿宋" w:eastAsia="仿宋" w:cs="仿宋"/>
                <w:sz w:val="21"/>
                <w:szCs w:val="21"/>
              </w:rPr>
            </w:pPr>
          </w:p>
        </w:tc>
        <w:tc>
          <w:tcPr>
            <w:tcW w:w="1725" w:type="dxa"/>
            <w:vAlign w:val="center"/>
          </w:tcPr>
          <w:p>
            <w:pPr>
              <w:widowControl/>
              <w:jc w:val="center"/>
              <w:rPr>
                <w:rFonts w:hint="eastAsia" w:ascii="仿宋" w:hAnsi="仿宋" w:eastAsia="仿宋" w:cs="仿宋"/>
                <w:color w:val="000000"/>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14</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会议费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20.70</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37.63</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16.93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15</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培训费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22.70</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13.56</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-9.14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16</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公务接待费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7.48</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9.76</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17</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劳务费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55.96</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65.33</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9.37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18</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委托业务</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15.49</w:t>
            </w:r>
          </w:p>
        </w:tc>
        <w:tc>
          <w:tcPr>
            <w:tcW w:w="1959" w:type="dxa"/>
            <w:vAlign w:val="center"/>
          </w:tcPr>
          <w:p>
            <w:pPr>
              <w:spacing w:line="440" w:lineRule="atLeast"/>
              <w:jc w:val="center"/>
              <w:rPr>
                <w:rFonts w:ascii="仿宋" w:hAnsi="仿宋" w:eastAsia="仿宋" w:cs="仿宋"/>
                <w:sz w:val="21"/>
                <w:szCs w:val="21"/>
              </w:rPr>
            </w:pP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-15.49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19</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工会经费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23.40</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0.20</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20</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福利费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40.58</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0.18</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-40.4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21</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公务用车运行维护费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23.71</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28.15</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4.44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22</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其他交通费用</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70.96</w:t>
            </w:r>
          </w:p>
        </w:tc>
        <w:tc>
          <w:tcPr>
            <w:tcW w:w="1959" w:type="dxa"/>
            <w:vAlign w:val="center"/>
          </w:tcPr>
          <w:p>
            <w:pPr>
              <w:widowControl/>
              <w:jc w:val="center"/>
              <w:rPr>
                <w:rFonts w:ascii="仿宋" w:hAnsi="仿宋" w:eastAsia="仿宋" w:cs="仿宋"/>
                <w:color w:val="000000"/>
                <w:kern w:val="0"/>
                <w:sz w:val="21"/>
                <w:szCs w:val="21"/>
              </w:rPr>
            </w:pPr>
            <w:r>
              <w:rPr>
                <w:rFonts w:hint="eastAsia" w:ascii="仿宋" w:hAnsi="仿宋" w:eastAsia="仿宋" w:cs="仿宋"/>
                <w:color w:val="000000"/>
                <w:sz w:val="21"/>
                <w:szCs w:val="21"/>
              </w:rPr>
              <w:t>21.96</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23</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税金及附加费用</w:t>
            </w:r>
          </w:p>
        </w:tc>
        <w:tc>
          <w:tcPr>
            <w:tcW w:w="2166" w:type="dxa"/>
            <w:vAlign w:val="center"/>
          </w:tcPr>
          <w:p>
            <w:pPr>
              <w:widowControl/>
              <w:jc w:val="center"/>
              <w:rPr>
                <w:rFonts w:hint="eastAsia" w:ascii="仿宋" w:hAnsi="仿宋" w:eastAsia="仿宋" w:cs="仿宋"/>
                <w:color w:val="000000"/>
                <w:sz w:val="21"/>
                <w:szCs w:val="21"/>
              </w:rPr>
            </w:pPr>
          </w:p>
        </w:tc>
        <w:tc>
          <w:tcPr>
            <w:tcW w:w="1959" w:type="dxa"/>
            <w:vAlign w:val="center"/>
          </w:tcPr>
          <w:p>
            <w:pPr>
              <w:spacing w:line="440" w:lineRule="atLeast"/>
              <w:jc w:val="center"/>
              <w:rPr>
                <w:rFonts w:ascii="仿宋" w:hAnsi="仿宋" w:eastAsia="仿宋" w:cs="仿宋"/>
                <w:sz w:val="21"/>
                <w:szCs w:val="21"/>
              </w:rPr>
            </w:pPr>
          </w:p>
        </w:tc>
        <w:tc>
          <w:tcPr>
            <w:tcW w:w="1725" w:type="dxa"/>
            <w:vAlign w:val="center"/>
          </w:tcPr>
          <w:p>
            <w:pPr>
              <w:widowControl/>
              <w:jc w:val="center"/>
              <w:rPr>
                <w:rFonts w:hint="eastAsia" w:ascii="仿宋" w:hAnsi="仿宋" w:eastAsia="仿宋" w:cs="仿宋"/>
                <w:color w:val="000000"/>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24</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其他商品和服务支出</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1114.77</w:t>
            </w:r>
          </w:p>
        </w:tc>
        <w:tc>
          <w:tcPr>
            <w:tcW w:w="1959"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614.76</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 xml:space="preserve"> 25</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对个人和家庭的补助</w:t>
            </w:r>
          </w:p>
        </w:tc>
        <w:tc>
          <w:tcPr>
            <w:tcW w:w="2166" w:type="dxa"/>
            <w:vAlign w:val="center"/>
          </w:tcPr>
          <w:p>
            <w:pPr>
              <w:widowControl/>
              <w:jc w:val="center"/>
              <w:rPr>
                <w:rFonts w:hint="eastAsia" w:ascii="仿宋" w:hAnsi="仿宋" w:eastAsia="仿宋" w:cs="仿宋"/>
                <w:color w:val="000000"/>
                <w:sz w:val="21"/>
                <w:szCs w:val="21"/>
              </w:rPr>
            </w:pPr>
          </w:p>
        </w:tc>
        <w:tc>
          <w:tcPr>
            <w:tcW w:w="1959" w:type="dxa"/>
            <w:vAlign w:val="center"/>
          </w:tcPr>
          <w:p>
            <w:pPr>
              <w:widowControl/>
              <w:jc w:val="center"/>
              <w:rPr>
                <w:rFonts w:hint="eastAsia" w:ascii="仿宋" w:hAnsi="仿宋" w:eastAsia="仿宋" w:cs="仿宋"/>
                <w:color w:val="000000"/>
                <w:sz w:val="21"/>
                <w:szCs w:val="21"/>
              </w:rPr>
            </w:pPr>
          </w:p>
        </w:tc>
        <w:tc>
          <w:tcPr>
            <w:tcW w:w="1725" w:type="dxa"/>
            <w:vAlign w:val="center"/>
          </w:tcPr>
          <w:p>
            <w:pPr>
              <w:widowControl/>
              <w:jc w:val="center"/>
              <w:rPr>
                <w:rFonts w:hint="eastAsia" w:ascii="仿宋" w:hAnsi="仿宋" w:eastAsia="仿宋" w:cs="仿宋"/>
                <w:color w:val="000000"/>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26</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办公设备购置及修缮</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70.04</w:t>
            </w:r>
          </w:p>
        </w:tc>
        <w:tc>
          <w:tcPr>
            <w:tcW w:w="1959"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30.10</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-39.94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27</w:t>
            </w:r>
          </w:p>
        </w:tc>
        <w:tc>
          <w:tcPr>
            <w:tcW w:w="2430" w:type="dxa"/>
          </w:tcPr>
          <w:p>
            <w:pPr>
              <w:spacing w:line="440" w:lineRule="atLeast"/>
              <w:rPr>
                <w:rFonts w:ascii="仿宋" w:hAnsi="仿宋" w:eastAsia="仿宋" w:cs="仿宋"/>
                <w:bCs/>
                <w:sz w:val="21"/>
                <w:szCs w:val="21"/>
              </w:rPr>
            </w:pPr>
            <w:r>
              <w:rPr>
                <w:rFonts w:hint="eastAsia" w:ascii="仿宋" w:hAnsi="仿宋" w:eastAsia="仿宋" w:cs="仿宋"/>
                <w:bCs/>
                <w:sz w:val="21"/>
                <w:szCs w:val="21"/>
              </w:rPr>
              <w:t>对企业补助</w:t>
            </w:r>
          </w:p>
        </w:tc>
        <w:tc>
          <w:tcPr>
            <w:tcW w:w="2166" w:type="dxa"/>
            <w:vAlign w:val="center"/>
          </w:tcPr>
          <w:p>
            <w:pPr>
              <w:widowControl/>
              <w:jc w:val="center"/>
              <w:rPr>
                <w:rFonts w:hint="eastAsia" w:ascii="仿宋" w:hAnsi="仿宋" w:eastAsia="仿宋" w:cs="仿宋"/>
                <w:color w:val="000000"/>
                <w:sz w:val="21"/>
                <w:szCs w:val="21"/>
              </w:rPr>
            </w:pPr>
          </w:p>
        </w:tc>
        <w:tc>
          <w:tcPr>
            <w:tcW w:w="1959" w:type="dxa"/>
            <w:vAlign w:val="center"/>
          </w:tcPr>
          <w:p>
            <w:pPr>
              <w:widowControl/>
              <w:jc w:val="center"/>
              <w:rPr>
                <w:rFonts w:hint="eastAsia" w:ascii="仿宋" w:hAnsi="仿宋" w:eastAsia="仿宋" w:cs="仿宋"/>
                <w:color w:val="000000"/>
                <w:sz w:val="21"/>
                <w:szCs w:val="21"/>
              </w:rPr>
            </w:pPr>
          </w:p>
        </w:tc>
        <w:tc>
          <w:tcPr>
            <w:tcW w:w="1725" w:type="dxa"/>
            <w:vAlign w:val="center"/>
          </w:tcPr>
          <w:p>
            <w:pPr>
              <w:widowControl/>
              <w:jc w:val="center"/>
              <w:rPr>
                <w:rFonts w:hint="eastAsia" w:ascii="仿宋" w:hAnsi="仿宋" w:eastAsia="仿宋" w:cs="仿宋"/>
                <w:color w:val="000000"/>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28</w:t>
            </w:r>
          </w:p>
        </w:tc>
        <w:tc>
          <w:tcPr>
            <w:tcW w:w="2430" w:type="dxa"/>
          </w:tcPr>
          <w:p>
            <w:pPr>
              <w:spacing w:line="440" w:lineRule="atLeast"/>
              <w:rPr>
                <w:rFonts w:ascii="仿宋" w:hAnsi="仿宋" w:eastAsia="仿宋" w:cs="仿宋"/>
                <w:b/>
                <w:bCs/>
                <w:sz w:val="21"/>
                <w:szCs w:val="21"/>
              </w:rPr>
            </w:pPr>
            <w:r>
              <w:rPr>
                <w:rFonts w:hint="eastAsia" w:ascii="仿宋" w:hAnsi="仿宋" w:eastAsia="仿宋" w:cs="仿宋"/>
                <w:sz w:val="21"/>
                <w:szCs w:val="21"/>
              </w:rPr>
              <w:t>公务用车购置</w:t>
            </w:r>
          </w:p>
        </w:tc>
        <w:tc>
          <w:tcPr>
            <w:tcW w:w="2166" w:type="dxa"/>
            <w:vAlign w:val="center"/>
          </w:tcPr>
          <w:p>
            <w:pPr>
              <w:widowControl/>
              <w:jc w:val="center"/>
              <w:rPr>
                <w:rFonts w:hint="eastAsia" w:ascii="仿宋" w:hAnsi="仿宋" w:eastAsia="仿宋" w:cs="仿宋"/>
                <w:color w:val="000000"/>
                <w:sz w:val="21"/>
                <w:szCs w:val="21"/>
              </w:rPr>
            </w:pPr>
          </w:p>
        </w:tc>
        <w:tc>
          <w:tcPr>
            <w:tcW w:w="1959"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29.98</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21.62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 xml:space="preserve"> 29</w:t>
            </w:r>
          </w:p>
        </w:tc>
        <w:tc>
          <w:tcPr>
            <w:tcW w:w="2430" w:type="dxa"/>
          </w:tcPr>
          <w:p>
            <w:pPr>
              <w:spacing w:line="440" w:lineRule="atLeast"/>
              <w:rPr>
                <w:rFonts w:ascii="仿宋" w:hAnsi="仿宋" w:eastAsia="仿宋" w:cs="仿宋"/>
                <w:b/>
                <w:bCs/>
                <w:sz w:val="21"/>
                <w:szCs w:val="21"/>
              </w:rPr>
            </w:pPr>
            <w:r>
              <w:rPr>
                <w:rFonts w:hint="eastAsia" w:ascii="仿宋" w:hAnsi="仿宋" w:eastAsia="仿宋" w:cs="仿宋"/>
                <w:sz w:val="21"/>
                <w:szCs w:val="21"/>
              </w:rPr>
              <w:t>无形资产购置</w:t>
            </w:r>
          </w:p>
        </w:tc>
        <w:tc>
          <w:tcPr>
            <w:tcW w:w="2166" w:type="dxa"/>
            <w:vAlign w:val="center"/>
          </w:tcPr>
          <w:p>
            <w:pPr>
              <w:widowControl/>
              <w:jc w:val="center"/>
              <w:rPr>
                <w:rFonts w:hint="eastAsia" w:ascii="仿宋" w:hAnsi="仿宋" w:eastAsia="仿宋" w:cs="仿宋"/>
                <w:color w:val="000000"/>
                <w:sz w:val="21"/>
                <w:szCs w:val="21"/>
              </w:rPr>
            </w:pPr>
          </w:p>
        </w:tc>
        <w:tc>
          <w:tcPr>
            <w:tcW w:w="1959"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98</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649" w:type="dxa"/>
          </w:tcPr>
          <w:p>
            <w:pPr>
              <w:spacing w:line="440" w:lineRule="atLeast"/>
              <w:jc w:val="center"/>
              <w:rPr>
                <w:rFonts w:ascii="仿宋" w:hAnsi="仿宋" w:eastAsia="仿宋" w:cs="仿宋"/>
                <w:sz w:val="21"/>
                <w:szCs w:val="21"/>
              </w:rPr>
            </w:pPr>
            <w:r>
              <w:rPr>
                <w:rFonts w:hint="eastAsia" w:ascii="仿宋" w:hAnsi="仿宋" w:eastAsia="仿宋" w:cs="仿宋"/>
                <w:sz w:val="21"/>
                <w:szCs w:val="21"/>
              </w:rPr>
              <w:t>30</w:t>
            </w:r>
          </w:p>
        </w:tc>
        <w:tc>
          <w:tcPr>
            <w:tcW w:w="2430" w:type="dxa"/>
          </w:tcPr>
          <w:p>
            <w:pPr>
              <w:spacing w:line="440" w:lineRule="atLeast"/>
              <w:rPr>
                <w:rFonts w:ascii="仿宋" w:hAnsi="仿宋" w:eastAsia="仿宋" w:cs="仿宋"/>
                <w:b/>
                <w:bCs/>
                <w:sz w:val="21"/>
                <w:szCs w:val="21"/>
              </w:rPr>
            </w:pPr>
            <w:r>
              <w:rPr>
                <w:rFonts w:hint="eastAsia" w:ascii="仿宋" w:hAnsi="仿宋" w:eastAsia="仿宋" w:cs="仿宋"/>
                <w:sz w:val="21"/>
                <w:szCs w:val="21"/>
              </w:rPr>
              <w:t>租赁费</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4.49</w:t>
            </w:r>
          </w:p>
        </w:tc>
        <w:tc>
          <w:tcPr>
            <w:tcW w:w="1959"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4.81</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0.32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649" w:type="dxa"/>
          </w:tcPr>
          <w:p>
            <w:pPr>
              <w:spacing w:line="440" w:lineRule="atLeast"/>
              <w:ind w:firstLine="210" w:firstLineChars="100"/>
              <w:rPr>
                <w:rFonts w:ascii="仿宋" w:hAnsi="仿宋" w:eastAsia="仿宋" w:cs="仿宋"/>
                <w:sz w:val="21"/>
                <w:szCs w:val="21"/>
              </w:rPr>
            </w:pPr>
            <w:r>
              <w:rPr>
                <w:rFonts w:hint="eastAsia" w:ascii="仿宋" w:hAnsi="仿宋" w:eastAsia="仿宋" w:cs="仿宋"/>
                <w:sz w:val="21"/>
                <w:szCs w:val="21"/>
              </w:rPr>
              <w:t>31</w:t>
            </w:r>
          </w:p>
        </w:tc>
        <w:tc>
          <w:tcPr>
            <w:tcW w:w="2430" w:type="dxa"/>
          </w:tcPr>
          <w:p>
            <w:pPr>
              <w:spacing w:line="440" w:lineRule="atLeast"/>
              <w:jc w:val="left"/>
              <w:rPr>
                <w:rFonts w:ascii="仿宋" w:hAnsi="仿宋" w:eastAsia="仿宋" w:cs="仿宋"/>
                <w:b/>
                <w:bCs/>
                <w:sz w:val="21"/>
                <w:szCs w:val="21"/>
              </w:rPr>
            </w:pPr>
            <w:r>
              <w:rPr>
                <w:rFonts w:hint="eastAsia" w:ascii="仿宋" w:hAnsi="仿宋" w:eastAsia="仿宋" w:cs="仿宋"/>
                <w:bCs/>
                <w:sz w:val="21"/>
                <w:szCs w:val="21"/>
              </w:rPr>
              <w:t>基础设施建设</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451.46</w:t>
            </w:r>
          </w:p>
        </w:tc>
        <w:tc>
          <w:tcPr>
            <w:tcW w:w="1959" w:type="dxa"/>
            <w:vAlign w:val="center"/>
          </w:tcPr>
          <w:p>
            <w:pPr>
              <w:widowControl/>
              <w:jc w:val="center"/>
              <w:rPr>
                <w:rFonts w:hint="eastAsia" w:ascii="仿宋" w:hAnsi="仿宋" w:eastAsia="仿宋" w:cs="仿宋"/>
                <w:color w:val="000000"/>
                <w:sz w:val="21"/>
                <w:szCs w:val="21"/>
              </w:rPr>
            </w:pP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-451.46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649" w:type="dxa"/>
          </w:tcPr>
          <w:p>
            <w:pPr>
              <w:spacing w:line="440" w:lineRule="atLeast"/>
              <w:ind w:firstLine="210" w:firstLineChars="100"/>
              <w:rPr>
                <w:rFonts w:ascii="仿宋" w:hAnsi="仿宋" w:eastAsia="仿宋" w:cs="仿宋"/>
                <w:sz w:val="21"/>
                <w:szCs w:val="21"/>
              </w:rPr>
            </w:pPr>
            <w:r>
              <w:rPr>
                <w:rFonts w:hint="eastAsia" w:ascii="仿宋" w:hAnsi="仿宋" w:eastAsia="仿宋" w:cs="仿宋"/>
                <w:sz w:val="21"/>
                <w:szCs w:val="21"/>
              </w:rPr>
              <w:t>32</w:t>
            </w:r>
          </w:p>
        </w:tc>
        <w:tc>
          <w:tcPr>
            <w:tcW w:w="2430" w:type="dxa"/>
          </w:tcPr>
          <w:p>
            <w:pPr>
              <w:spacing w:line="440" w:lineRule="atLeast"/>
              <w:rPr>
                <w:rFonts w:ascii="仿宋" w:hAnsi="仿宋" w:eastAsia="仿宋" w:cs="仿宋"/>
                <w:b/>
                <w:bCs/>
                <w:sz w:val="21"/>
                <w:szCs w:val="21"/>
              </w:rPr>
            </w:pPr>
            <w:r>
              <w:rPr>
                <w:rFonts w:hint="eastAsia" w:ascii="仿宋" w:hAnsi="仿宋" w:eastAsia="仿宋" w:cs="仿宋"/>
                <w:bCs/>
                <w:sz w:val="21"/>
                <w:szCs w:val="21"/>
              </w:rPr>
              <w:t>大型修缮</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73.33</w:t>
            </w:r>
          </w:p>
        </w:tc>
        <w:tc>
          <w:tcPr>
            <w:tcW w:w="1959" w:type="dxa"/>
            <w:vAlign w:val="center"/>
          </w:tcPr>
          <w:p>
            <w:pPr>
              <w:widowControl/>
              <w:jc w:val="center"/>
              <w:rPr>
                <w:rFonts w:hint="eastAsia" w:ascii="仿宋" w:hAnsi="仿宋" w:eastAsia="仿宋" w:cs="仿宋"/>
                <w:color w:val="000000"/>
                <w:sz w:val="21"/>
                <w:szCs w:val="21"/>
              </w:rPr>
            </w:pP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-73.33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649" w:type="dxa"/>
          </w:tcPr>
          <w:p>
            <w:pPr>
              <w:spacing w:line="440" w:lineRule="atLeast"/>
              <w:ind w:firstLine="210" w:firstLineChars="100"/>
              <w:rPr>
                <w:rFonts w:ascii="仿宋" w:hAnsi="仿宋" w:eastAsia="仿宋" w:cs="仿宋"/>
                <w:sz w:val="21"/>
                <w:szCs w:val="21"/>
              </w:rPr>
            </w:pPr>
            <w:r>
              <w:rPr>
                <w:rFonts w:hint="eastAsia" w:ascii="仿宋" w:hAnsi="仿宋" w:eastAsia="仿宋" w:cs="仿宋"/>
                <w:sz w:val="21"/>
                <w:szCs w:val="21"/>
              </w:rPr>
              <w:t>33</w:t>
            </w:r>
          </w:p>
        </w:tc>
        <w:tc>
          <w:tcPr>
            <w:tcW w:w="2430" w:type="dxa"/>
          </w:tcPr>
          <w:p>
            <w:pPr>
              <w:spacing w:line="440" w:lineRule="atLeast"/>
              <w:jc w:val="center"/>
              <w:rPr>
                <w:rFonts w:ascii="仿宋" w:hAnsi="仿宋" w:eastAsia="仿宋" w:cs="仿宋"/>
                <w:b/>
                <w:bCs/>
                <w:sz w:val="21"/>
                <w:szCs w:val="21"/>
              </w:rPr>
            </w:pPr>
            <w:r>
              <w:rPr>
                <w:rFonts w:hint="eastAsia" w:ascii="仿宋" w:hAnsi="仿宋" w:eastAsia="仿宋" w:cs="仿宋"/>
                <w:b/>
                <w:bCs/>
                <w:sz w:val="21"/>
                <w:szCs w:val="21"/>
              </w:rPr>
              <w:t>合 计</w:t>
            </w:r>
          </w:p>
        </w:tc>
        <w:tc>
          <w:tcPr>
            <w:tcW w:w="2166"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2274.98</w:t>
            </w:r>
          </w:p>
        </w:tc>
        <w:tc>
          <w:tcPr>
            <w:tcW w:w="1959"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1701.23</w:t>
            </w:r>
          </w:p>
        </w:tc>
        <w:tc>
          <w:tcPr>
            <w:tcW w:w="1725" w:type="dxa"/>
            <w:vAlign w:val="center"/>
          </w:tcPr>
          <w:p>
            <w:pPr>
              <w:widowControl/>
              <w:jc w:val="center"/>
              <w:rPr>
                <w:rFonts w:hint="eastAsia" w:ascii="仿宋" w:hAnsi="仿宋" w:eastAsia="仿宋" w:cs="仿宋"/>
                <w:color w:val="000000"/>
                <w:sz w:val="21"/>
                <w:szCs w:val="21"/>
              </w:rPr>
            </w:pPr>
            <w:r>
              <w:rPr>
                <w:rFonts w:hint="eastAsia" w:ascii="仿宋" w:hAnsi="仿宋" w:eastAsia="仿宋" w:cs="仿宋"/>
                <w:color w:val="000000"/>
                <w:sz w:val="21"/>
                <w:szCs w:val="21"/>
              </w:rPr>
              <w:t>-573.75</w:t>
            </w:r>
          </w:p>
        </w:tc>
      </w:tr>
      <w:bookmarkEnd w:id="10"/>
    </w:tbl>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三、政府性基金预算支出情况</w:t>
      </w:r>
    </w:p>
    <w:p>
      <w:pPr>
        <w:spacing w:line="580" w:lineRule="exact"/>
        <w:ind w:firstLine="646"/>
        <w:rPr>
          <w:rFonts w:hint="eastAsia" w:ascii="仿宋" w:hAnsi="仿宋" w:eastAsia="仿宋" w:cs="仿宋"/>
          <w:sz w:val="28"/>
          <w:szCs w:val="28"/>
        </w:rPr>
      </w:pPr>
      <w:r>
        <w:rPr>
          <w:rFonts w:hint="eastAsia" w:ascii="仿宋" w:hAnsi="仿宋" w:eastAsia="仿宋" w:cs="仿宋"/>
          <w:sz w:val="28"/>
          <w:szCs w:val="28"/>
        </w:rPr>
        <w:t>2020年，本部门经批准调整政府性基金预算收入金额合计193.60万元，是财政拨款收入193.60万元，上年无结转。商品和服务支出：其中印刷费0.72万元、咨询费192.6万元、差旅费0.01万元、公务接待费0.22万元、其他商品和服务支出0.05万元</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四、</w:t>
      </w:r>
      <w:bookmarkStart w:id="11" w:name="_Hlk74938202"/>
      <w:r>
        <w:rPr>
          <w:rFonts w:hint="eastAsia" w:ascii="仿宋" w:hAnsi="仿宋" w:eastAsia="仿宋" w:cs="仿宋"/>
          <w:b/>
          <w:bCs/>
          <w:sz w:val="30"/>
          <w:szCs w:val="30"/>
        </w:rPr>
        <w:t>国有资本经营</w:t>
      </w:r>
      <w:bookmarkEnd w:id="11"/>
      <w:r>
        <w:rPr>
          <w:rFonts w:hint="eastAsia" w:ascii="仿宋" w:hAnsi="仿宋" w:eastAsia="仿宋" w:cs="仿宋"/>
          <w:b/>
          <w:bCs/>
          <w:sz w:val="30"/>
          <w:szCs w:val="30"/>
        </w:rPr>
        <w:t xml:space="preserve">预算支出情况  </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本部门无国有资本经营预算支出。</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五、</w:t>
      </w:r>
      <w:bookmarkStart w:id="12" w:name="_Hlk74938222"/>
      <w:r>
        <w:rPr>
          <w:rFonts w:hint="eastAsia" w:ascii="仿宋" w:hAnsi="仿宋" w:eastAsia="仿宋" w:cs="仿宋"/>
          <w:b/>
          <w:bCs/>
          <w:sz w:val="30"/>
          <w:szCs w:val="30"/>
        </w:rPr>
        <w:t>社会保险</w:t>
      </w:r>
      <w:bookmarkEnd w:id="12"/>
      <w:r>
        <w:rPr>
          <w:rFonts w:hint="eastAsia" w:ascii="仿宋" w:hAnsi="仿宋" w:eastAsia="仿宋" w:cs="仿宋"/>
          <w:b/>
          <w:bCs/>
          <w:sz w:val="30"/>
          <w:szCs w:val="30"/>
        </w:rPr>
        <w:t>基金预算支出情况</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本部门无社会保险基金预算支出。</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六、部门整体支出绩效情况</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（一）绩效自评目的、对象和范围</w:t>
      </w:r>
    </w:p>
    <w:p>
      <w:pPr>
        <w:spacing w:before="183" w:beforeLines="50" w:after="183" w:afterLines="50" w:line="600" w:lineRule="exact"/>
        <w:ind w:firstLine="560" w:firstLineChars="200"/>
        <w:rPr>
          <w:rFonts w:ascii="仿宋" w:hAnsi="仿宋" w:eastAsia="仿宋" w:cs="仿宋"/>
          <w:sz w:val="28"/>
          <w:szCs w:val="28"/>
        </w:rPr>
      </w:pPr>
      <w:r>
        <w:rPr>
          <w:rFonts w:hint="eastAsia" w:ascii="仿宋" w:hAnsi="仿宋" w:eastAsia="仿宋" w:cs="仿宋"/>
          <w:sz w:val="28"/>
          <w:szCs w:val="28"/>
        </w:rPr>
        <w:t>根据《湘西自治州财政局关于开展2020年度州直预算部门（单位）整体支出绩效自评工作的通知》（州财绩〔2021〕8号）要求，就本局2020年度预算编制、执行、资金管理使用实际效果、绩效自评等及时、全面的开展绩效自评工作。对本年度资金使用情况、日常组织管理情况、绩效目标及完成情况进行自我衡量，了解资金使用是否达到预期目标、资金管理是否规范、资金使用是否有效，检验资金支出效率和效果，分析存在问题和原因，及时总结经验，完善管理，有效提高资金管理水平和使用效益。</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（二）绩效自评原则、依据、评价方法</w:t>
      </w:r>
    </w:p>
    <w:p>
      <w:pPr>
        <w:spacing w:before="183" w:beforeLines="50" w:after="183" w:afterLines="50"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1、本次绩效自评遵循科学公正、统筹兼顾、激励约束、公开透明的基本原则。</w:t>
      </w:r>
    </w:p>
    <w:p>
      <w:pPr>
        <w:spacing w:before="183" w:beforeLines="50" w:after="183" w:afterLines="50"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2、本次绩效评价的主要依据</w:t>
      </w:r>
    </w:p>
    <w:p>
      <w:pPr>
        <w:spacing w:before="183" w:beforeLines="50" w:after="183" w:afterLines="50"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湘西自治州财政局关于开展2020年度州直预算部门（单位）整体支出绩效自评工作的通知》（州财绩〔2021〕8号）；《湘西自治州财政局关于开展2020年度州直预算部门（单位）项目支出绩效自评工作的通知》（州财绩〔2021〕9号）。</w:t>
      </w:r>
    </w:p>
    <w:p>
      <w:pPr>
        <w:spacing w:before="183" w:beforeLines="50" w:after="183" w:afterLines="50"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（2）湘西自治州发展和改革委员会2020年主要工作任务。</w:t>
      </w:r>
    </w:p>
    <w:p>
      <w:pPr>
        <w:spacing w:before="183" w:beforeLines="50" w:after="183" w:afterLines="50"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（3）湘西自治州发展和改革委员会部门职责职能。 </w:t>
      </w:r>
    </w:p>
    <w:p>
      <w:pPr>
        <w:spacing w:before="183" w:beforeLines="50" w:after="183" w:afterLines="50"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3、评价方法</w:t>
      </w:r>
      <w:r>
        <w:rPr>
          <w:rFonts w:hint="eastAsia" w:ascii="仿宋" w:hAnsi="仿宋" w:eastAsia="仿宋" w:cs="仿宋"/>
          <w:sz w:val="28"/>
          <w:szCs w:val="28"/>
          <w:lang w:eastAsia="zh-CN"/>
        </w:rPr>
        <w:t>：</w:t>
      </w:r>
      <w:r>
        <w:rPr>
          <w:rFonts w:hint="eastAsia" w:ascii="仿宋" w:hAnsi="仿宋" w:eastAsia="仿宋" w:cs="仿宋"/>
          <w:sz w:val="28"/>
          <w:szCs w:val="28"/>
        </w:rPr>
        <w:t>本次绩效评价为本部门自评。</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（三）部门整体支出绩效目标完成情况</w:t>
      </w:r>
    </w:p>
    <w:p>
      <w:pPr>
        <w:spacing w:before="183" w:beforeLines="50" w:after="183" w:afterLines="50"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2020年，全州发改系统在州委州政府的坚强领导下，在省发改委的关心支持下，大家团结一致，紧盯中央、省、州决策部署，坚持一手抓疫情防控、一手抓经济发展，采取有力措施，坚守工作激情、主动作为、担当实干，做了大量卓有成效的工作，为全州各项发展改革任务的顺利推进贡献了发改力量。全年固定资产投资增长6.1%，297个省州重点建设项目完成投资627.2亿元，与国开行、中国银行、建设银行、交通银行、工商银行等金融机构开展战略合作，46个企业项目与银行机构签订贷款意向书，签约授信额度125亿元。湘西高新区首登大湘西片区省级产业园区第3名，济南市累计援助湘西州财政资金11.08亿元、社会帮扶资金（含物资）2.58亿元，扶贫协作成绩显著，得到国家扶贫办领导多次肯定。湘西州发改委被国家发展改革委授予全国易地扶贫搬迁“搬迁工作担当有为集体”、荣获全州优化营商环境先进单位、省级文明单位。指标考核得分</w:t>
      </w:r>
      <w:r>
        <w:rPr>
          <w:rFonts w:hint="eastAsia" w:ascii="仿宋" w:hAnsi="仿宋" w:eastAsia="仿宋" w:cs="仿宋"/>
          <w:color w:val="auto"/>
          <w:sz w:val="28"/>
          <w:szCs w:val="28"/>
        </w:rPr>
        <w:t>99</w:t>
      </w:r>
      <w:r>
        <w:rPr>
          <w:rFonts w:hint="eastAsia" w:ascii="仿宋" w:hAnsi="仿宋" w:eastAsia="仿宋" w:cs="仿宋"/>
          <w:sz w:val="28"/>
          <w:szCs w:val="28"/>
          <w:lang w:val="en-US" w:eastAsia="zh-CN"/>
        </w:rPr>
        <w:t>分</w:t>
      </w:r>
      <w:r>
        <w:rPr>
          <w:rFonts w:hint="eastAsia" w:ascii="仿宋" w:hAnsi="仿宋" w:eastAsia="仿宋" w:cs="仿宋"/>
          <w:sz w:val="28"/>
          <w:szCs w:val="28"/>
        </w:rPr>
        <w:t>。部门整体支出情况如下：</w:t>
      </w:r>
    </w:p>
    <w:p>
      <w:pPr>
        <w:spacing w:before="183" w:beforeLines="50" w:after="183" w:afterLines="50"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2020年本部门本年收入总额3809.22万元较2019年收入3808.29万元增加0.93万元：一般公共预算财政拨款3578.69万元</w:t>
      </w:r>
      <w:bookmarkStart w:id="13" w:name="_Hlk75069049"/>
      <w:r>
        <w:rPr>
          <w:rFonts w:hint="eastAsia" w:ascii="仿宋" w:hAnsi="仿宋" w:eastAsia="仿宋" w:cs="仿宋"/>
          <w:sz w:val="28"/>
          <w:szCs w:val="28"/>
        </w:rPr>
        <w:t>较2019年拨款收入3639.11万元</w:t>
      </w:r>
      <w:bookmarkStart w:id="14" w:name="_Hlk75069517"/>
      <w:r>
        <w:rPr>
          <w:rFonts w:hint="eastAsia" w:ascii="仿宋" w:hAnsi="仿宋" w:eastAsia="仿宋" w:cs="仿宋"/>
          <w:sz w:val="28"/>
          <w:szCs w:val="28"/>
        </w:rPr>
        <w:t>减少</w:t>
      </w:r>
      <w:bookmarkEnd w:id="14"/>
      <w:r>
        <w:rPr>
          <w:rFonts w:hint="eastAsia" w:ascii="仿宋" w:hAnsi="仿宋" w:eastAsia="仿宋" w:cs="仿宋"/>
          <w:sz w:val="28"/>
          <w:szCs w:val="28"/>
        </w:rPr>
        <w:t>60.42万元，</w:t>
      </w:r>
      <w:bookmarkStart w:id="15" w:name="_Hlk74952204"/>
      <w:r>
        <w:rPr>
          <w:rFonts w:hint="eastAsia" w:ascii="仿宋" w:hAnsi="仿宋" w:eastAsia="仿宋" w:cs="仿宋"/>
          <w:sz w:val="28"/>
          <w:szCs w:val="28"/>
        </w:rPr>
        <w:t>降低</w:t>
      </w:r>
      <w:bookmarkEnd w:id="15"/>
      <w:r>
        <w:rPr>
          <w:rFonts w:hint="eastAsia" w:ascii="仿宋" w:hAnsi="仿宋" w:eastAsia="仿宋" w:cs="仿宋"/>
          <w:sz w:val="28"/>
          <w:szCs w:val="28"/>
        </w:rPr>
        <w:t>1.66%；</w:t>
      </w:r>
      <w:bookmarkEnd w:id="13"/>
      <w:r>
        <w:rPr>
          <w:rFonts w:hint="eastAsia" w:ascii="仿宋" w:hAnsi="仿宋" w:eastAsia="仿宋" w:cs="仿宋"/>
          <w:sz w:val="28"/>
          <w:szCs w:val="28"/>
        </w:rPr>
        <w:t xml:space="preserve">  政府性基金预算财政拨款193.6万元，上年无拨款；其他收入36.93万元较2019年收入169.17万元减少132.24万元，降低78.17%；本年支出总计3449.41万元，较2019年支出3889.80万元减少440.19万元，降低11.32%。由于疫情防控的开支，本年基本支出较上年增加133.56万元；项目支出较上年减少573.75万元。</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（四）绩效评价情况</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1、产出指标（50分）</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1.1</w:t>
      </w:r>
      <w:bookmarkStart w:id="16" w:name="_Hlk74600334"/>
      <w:r>
        <w:rPr>
          <w:rFonts w:hint="eastAsia" w:ascii="仿宋" w:hAnsi="仿宋" w:eastAsia="仿宋" w:cs="仿宋"/>
          <w:b/>
          <w:bCs/>
          <w:sz w:val="30"/>
          <w:szCs w:val="30"/>
        </w:rPr>
        <w:t>数量指标</w:t>
      </w:r>
      <w:bookmarkEnd w:id="16"/>
    </w:p>
    <w:p>
      <w:pPr>
        <w:pStyle w:val="6"/>
        <w:widowControl/>
        <w:numPr>
          <w:ilvl w:val="0"/>
          <w:numId w:val="3"/>
        </w:numPr>
        <w:shd w:val="clear" w:color="auto" w:fill="FFFFFF"/>
        <w:spacing w:beforeAutospacing="0" w:afterAutospacing="0" w:line="360" w:lineRule="auto"/>
        <w:jc w:val="both"/>
        <w:rPr>
          <w:rFonts w:ascii="仿宋" w:hAnsi="仿宋" w:eastAsia="仿宋" w:cs="仿宋"/>
          <w:sz w:val="28"/>
          <w:szCs w:val="28"/>
        </w:rPr>
      </w:pPr>
      <w:r>
        <w:rPr>
          <w:rFonts w:hint="eastAsia" w:ascii="仿宋" w:hAnsi="仿宋" w:eastAsia="仿宋" w:cs="仿宋"/>
          <w:sz w:val="28"/>
          <w:szCs w:val="28"/>
        </w:rPr>
        <w:t>固定资产投资增长</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2020年全州</w:t>
      </w:r>
      <w:r>
        <w:rPr>
          <w:rFonts w:hint="eastAsia" w:ascii="仿宋" w:hAnsi="仿宋" w:eastAsia="仿宋" w:cs="仿宋"/>
          <w:sz w:val="28"/>
          <w:szCs w:val="28"/>
        </w:rPr>
        <w:t>固定资产投资增长</w:t>
      </w:r>
      <w:r>
        <w:rPr>
          <w:rFonts w:hint="eastAsia" w:ascii="仿宋" w:hAnsi="仿宋" w:eastAsia="仿宋" w:cs="仿宋"/>
          <w:sz w:val="28"/>
          <w:szCs w:val="28"/>
          <w:lang w:val="en-US" w:eastAsia="zh-CN"/>
        </w:rPr>
        <w:t>率6.10%。</w:t>
      </w:r>
    </w:p>
    <w:p>
      <w:pPr>
        <w:pStyle w:val="6"/>
        <w:widowControl/>
        <w:numPr>
          <w:ilvl w:val="0"/>
          <w:numId w:val="3"/>
        </w:numPr>
        <w:shd w:val="clear" w:color="auto" w:fill="FFFFFF"/>
        <w:spacing w:beforeAutospacing="0" w:afterAutospacing="0" w:line="360" w:lineRule="auto"/>
        <w:jc w:val="both"/>
        <w:rPr>
          <w:rFonts w:ascii="仿宋" w:hAnsi="仿宋" w:eastAsia="仿宋" w:cs="仿宋"/>
          <w:sz w:val="28"/>
          <w:szCs w:val="28"/>
        </w:rPr>
      </w:pPr>
      <w:r>
        <w:rPr>
          <w:rFonts w:hint="eastAsia" w:ascii="仿宋" w:hAnsi="仿宋" w:eastAsia="仿宋" w:cs="仿宋"/>
          <w:sz w:val="28"/>
          <w:szCs w:val="28"/>
          <w:lang w:val="en-US" w:eastAsia="zh-CN"/>
        </w:rPr>
        <w:t>产业项目</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2020年，</w:t>
      </w:r>
      <w:r>
        <w:rPr>
          <w:rFonts w:hint="eastAsia" w:ascii="仿宋" w:hAnsi="仿宋" w:eastAsia="仿宋" w:cs="仿宋"/>
          <w:sz w:val="28"/>
          <w:szCs w:val="28"/>
        </w:rPr>
        <w:t>州重点建设项目</w:t>
      </w:r>
      <w:r>
        <w:rPr>
          <w:rFonts w:hint="eastAsia" w:ascii="仿宋" w:hAnsi="仿宋" w:eastAsia="仿宋" w:cs="仿宋"/>
          <w:sz w:val="28"/>
          <w:szCs w:val="28"/>
          <w:lang w:val="en-US" w:eastAsia="zh-CN"/>
        </w:rPr>
        <w:t>计划完成投资260亿元，实际州重点建设项目完成投资509亿元</w:t>
      </w:r>
      <w:r>
        <w:rPr>
          <w:rFonts w:hint="eastAsia" w:ascii="仿宋" w:hAnsi="仿宋" w:eastAsia="仿宋" w:cs="仿宋"/>
          <w:sz w:val="28"/>
          <w:szCs w:val="28"/>
          <w:lang w:eastAsia="zh-CN"/>
        </w:rPr>
        <w:t>。</w:t>
      </w:r>
    </w:p>
    <w:p>
      <w:pPr>
        <w:pStyle w:val="6"/>
        <w:widowControl/>
        <w:numPr>
          <w:ilvl w:val="0"/>
          <w:numId w:val="3"/>
        </w:numPr>
        <w:shd w:val="clear" w:color="auto" w:fill="FFFFFF"/>
        <w:spacing w:beforeAutospacing="0" w:afterAutospacing="0" w:line="360" w:lineRule="auto"/>
        <w:jc w:val="both"/>
        <w:rPr>
          <w:rFonts w:ascii="仿宋" w:hAnsi="仿宋" w:eastAsia="仿宋" w:cs="仿宋"/>
          <w:sz w:val="28"/>
          <w:szCs w:val="28"/>
        </w:rPr>
      </w:pPr>
      <w:r>
        <w:rPr>
          <w:rFonts w:hint="eastAsia" w:ascii="仿宋" w:hAnsi="仿宋" w:eastAsia="仿宋" w:cs="仿宋"/>
          <w:sz w:val="28"/>
          <w:szCs w:val="28"/>
        </w:rPr>
        <w:t>重要政策落实</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2020年，重要政策落实目标达100项，实际达到108项。积极开展政银企合作，</w:t>
      </w:r>
      <w:r>
        <w:rPr>
          <w:rFonts w:hint="eastAsia" w:ascii="仿宋" w:hAnsi="仿宋" w:eastAsia="仿宋" w:cs="仿宋"/>
          <w:sz w:val="28"/>
          <w:szCs w:val="28"/>
        </w:rPr>
        <w:t>招商引资，与国开行、中国银行、建设银行、交通银行、工商银行等金融机构开展战略合作，46个企业项目与银行机构签订贷款意向书，签约授信额度125亿元。部署基础设施不动产投资信托基金（REITs）试点工作，支持项目7个，总投资达50亿元。20个项目拟争取2亿美元的亚行贷款项目</w:t>
      </w:r>
      <w:r>
        <w:rPr>
          <w:rFonts w:hint="eastAsia" w:ascii="仿宋" w:hAnsi="仿宋" w:eastAsia="仿宋" w:cs="仿宋"/>
          <w:sz w:val="28"/>
          <w:szCs w:val="28"/>
          <w:lang w:eastAsia="zh-CN"/>
        </w:rPr>
        <w:t>。</w:t>
      </w:r>
    </w:p>
    <w:p>
      <w:pPr>
        <w:pStyle w:val="6"/>
        <w:widowControl/>
        <w:numPr>
          <w:ilvl w:val="0"/>
          <w:numId w:val="3"/>
        </w:numPr>
        <w:shd w:val="clear" w:color="auto" w:fill="FFFFFF"/>
        <w:spacing w:beforeAutospacing="0" w:afterAutospacing="0" w:line="360" w:lineRule="auto"/>
        <w:jc w:val="both"/>
        <w:rPr>
          <w:rFonts w:ascii="仿宋" w:hAnsi="仿宋" w:eastAsia="仿宋" w:cs="仿宋"/>
          <w:sz w:val="28"/>
          <w:szCs w:val="28"/>
        </w:rPr>
      </w:pPr>
      <w:r>
        <w:rPr>
          <w:rFonts w:hint="eastAsia" w:ascii="仿宋" w:hAnsi="仿宋" w:eastAsia="仿宋" w:cs="仿宋"/>
          <w:sz w:val="28"/>
          <w:szCs w:val="28"/>
        </w:rPr>
        <w:t>规划编制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2020年计划起草形成“十四五”规划纲要框架；2020年实际编制完成《湘西州国民经济和社会发展第十四个五年规划和二〇三五年远景目标纲要（草案）》，并已提交州十四届人大六次会议审议通过。</w:t>
      </w:r>
    </w:p>
    <w:p>
      <w:pPr>
        <w:pStyle w:val="6"/>
        <w:widowControl/>
        <w:numPr>
          <w:ilvl w:val="0"/>
          <w:numId w:val="3"/>
        </w:numPr>
        <w:shd w:val="clear" w:color="auto" w:fill="FFFFFF"/>
        <w:spacing w:beforeAutospacing="0" w:afterAutospacing="0" w:line="360" w:lineRule="auto"/>
        <w:jc w:val="both"/>
        <w:rPr>
          <w:rFonts w:hint="eastAsia" w:ascii="仿宋" w:hAnsi="仿宋" w:eastAsia="仿宋" w:cs="仿宋"/>
          <w:b/>
          <w:bCs/>
          <w:sz w:val="30"/>
          <w:szCs w:val="30"/>
        </w:rPr>
      </w:pPr>
      <w:r>
        <w:rPr>
          <w:rFonts w:hint="eastAsia" w:ascii="仿宋" w:hAnsi="仿宋" w:eastAsia="仿宋" w:cs="仿宋"/>
          <w:b w:val="0"/>
          <w:bCs w:val="0"/>
          <w:sz w:val="28"/>
          <w:szCs w:val="28"/>
        </w:rPr>
        <w:t>建成安置住房</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2020年</w:t>
      </w:r>
      <w:r>
        <w:rPr>
          <w:rFonts w:hint="eastAsia" w:ascii="仿宋" w:hAnsi="仿宋" w:eastAsia="仿宋" w:cs="仿宋"/>
          <w:sz w:val="28"/>
          <w:szCs w:val="28"/>
        </w:rPr>
        <w:t>建成安置住房1.97万套约204万平方米</w:t>
      </w:r>
      <w:r>
        <w:rPr>
          <w:rFonts w:hint="eastAsia" w:ascii="仿宋" w:hAnsi="仿宋" w:eastAsia="仿宋" w:cs="仿宋"/>
          <w:sz w:val="28"/>
          <w:szCs w:val="28"/>
          <w:lang w:eastAsia="zh-CN"/>
        </w:rPr>
        <w:t>。</w:t>
      </w:r>
    </w:p>
    <w:p>
      <w:pPr>
        <w:pStyle w:val="6"/>
        <w:widowControl/>
        <w:numPr>
          <w:ilvl w:val="0"/>
          <w:numId w:val="3"/>
        </w:numPr>
        <w:shd w:val="clear" w:color="auto" w:fill="FFFFFF"/>
        <w:spacing w:beforeAutospacing="0" w:afterAutospacing="0" w:line="360" w:lineRule="auto"/>
        <w:jc w:val="both"/>
        <w:rPr>
          <w:rFonts w:hint="eastAsia" w:ascii="仿宋" w:hAnsi="仿宋" w:eastAsia="仿宋" w:cs="仿宋"/>
          <w:b/>
          <w:bCs/>
          <w:sz w:val="30"/>
          <w:szCs w:val="30"/>
        </w:rPr>
      </w:pPr>
      <w:r>
        <w:rPr>
          <w:rFonts w:hint="eastAsia" w:ascii="仿宋" w:hAnsi="仿宋" w:eastAsia="仿宋" w:cs="仿宋"/>
          <w:sz w:val="28"/>
          <w:szCs w:val="28"/>
        </w:rPr>
        <w:t>扶贫搬迁</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2020年实现</w:t>
      </w:r>
      <w:r>
        <w:rPr>
          <w:rFonts w:hint="eastAsia" w:ascii="仿宋" w:hAnsi="仿宋" w:eastAsia="仿宋" w:cs="仿宋"/>
          <w:sz w:val="28"/>
          <w:szCs w:val="28"/>
          <w:lang w:eastAsia="zh-CN"/>
        </w:rPr>
        <w:t>1.97万户8.18万人建档立卡贫困群众全部进新区、住新房、过上新生活。</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1.2</w:t>
      </w:r>
      <w:bookmarkStart w:id="17" w:name="_Hlk74600346"/>
      <w:r>
        <w:rPr>
          <w:rFonts w:hint="eastAsia" w:ascii="仿宋" w:hAnsi="仿宋" w:eastAsia="仿宋" w:cs="仿宋"/>
          <w:b/>
          <w:bCs/>
          <w:sz w:val="30"/>
          <w:szCs w:val="30"/>
        </w:rPr>
        <w:t>质量指标</w:t>
      </w:r>
    </w:p>
    <w:bookmarkEnd w:id="17"/>
    <w:p>
      <w:pPr>
        <w:pStyle w:val="6"/>
        <w:widowControl/>
        <w:numPr>
          <w:ilvl w:val="0"/>
          <w:numId w:val="3"/>
        </w:numPr>
        <w:shd w:val="clear" w:color="auto" w:fill="FFFFFF"/>
        <w:spacing w:beforeAutospacing="0" w:afterAutospacing="0" w:line="360" w:lineRule="auto"/>
        <w:jc w:val="both"/>
        <w:rPr>
          <w:rFonts w:ascii="仿宋" w:hAnsi="仿宋" w:eastAsia="仿宋" w:cs="仿宋"/>
          <w:color w:val="000000" w:themeColor="text1"/>
          <w:kern w:val="2"/>
          <w:sz w:val="28"/>
          <w:szCs w:val="28"/>
        </w:rPr>
      </w:pPr>
      <w:r>
        <w:rPr>
          <w:rFonts w:hint="eastAsia" w:ascii="仿宋" w:hAnsi="仿宋" w:eastAsia="仿宋" w:cs="仿宋"/>
          <w:color w:val="000000" w:themeColor="text1"/>
          <w:kern w:val="2"/>
          <w:sz w:val="28"/>
          <w:szCs w:val="28"/>
        </w:rPr>
        <w:t>预算资金使用到位率。2020年财政预算资金3809.22万元，全年整体支出合计3449.61万元，预算完成率90.56%。</w:t>
      </w:r>
    </w:p>
    <w:p>
      <w:pPr>
        <w:pStyle w:val="6"/>
        <w:widowControl/>
        <w:numPr>
          <w:ilvl w:val="0"/>
          <w:numId w:val="3"/>
        </w:numPr>
        <w:shd w:val="clear" w:color="auto" w:fill="FFFFFF"/>
        <w:spacing w:beforeAutospacing="0" w:afterAutospacing="0" w:line="360" w:lineRule="auto"/>
        <w:jc w:val="both"/>
        <w:rPr>
          <w:rFonts w:ascii="仿宋" w:hAnsi="仿宋" w:eastAsia="仿宋" w:cs="仿宋"/>
          <w:kern w:val="2"/>
          <w:sz w:val="28"/>
          <w:szCs w:val="28"/>
        </w:rPr>
      </w:pPr>
      <w:r>
        <w:rPr>
          <w:rFonts w:hint="eastAsia" w:ascii="仿宋" w:hAnsi="仿宋" w:eastAsia="仿宋" w:cs="仿宋"/>
          <w:bCs/>
          <w:sz w:val="28"/>
          <w:szCs w:val="28"/>
        </w:rPr>
        <w:t>全力优化营商环境，</w:t>
      </w:r>
      <w:r>
        <w:rPr>
          <w:rFonts w:hint="eastAsia" w:ascii="仿宋" w:hAnsi="仿宋" w:eastAsia="仿宋" w:cs="仿宋"/>
          <w:bCs/>
          <w:sz w:val="28"/>
          <w:szCs w:val="28"/>
          <w:lang w:val="en-US" w:eastAsia="zh-CN"/>
        </w:rPr>
        <w:t>2020年</w:t>
      </w:r>
      <w:r>
        <w:rPr>
          <w:rFonts w:hint="eastAsia" w:ascii="仿宋" w:hAnsi="仿宋" w:eastAsia="仿宋" w:cs="仿宋"/>
          <w:bCs/>
          <w:sz w:val="28"/>
          <w:szCs w:val="28"/>
        </w:rPr>
        <w:t>构“1+9+200+450”营商环境监测体系营商环境企业对我州营商环境满意度由48.3%提高至69.3%</w:t>
      </w:r>
      <w:r>
        <w:rPr>
          <w:rFonts w:hint="eastAsia" w:ascii="仿宋" w:hAnsi="仿宋" w:eastAsia="仿宋" w:cs="仿宋"/>
          <w:bCs/>
          <w:sz w:val="28"/>
          <w:szCs w:val="28"/>
          <w:lang w:eastAsia="zh-CN"/>
        </w:rPr>
        <w:t>，</w:t>
      </w:r>
      <w:r>
        <w:rPr>
          <w:rFonts w:hint="eastAsia" w:ascii="仿宋" w:hAnsi="仿宋" w:eastAsia="仿宋" w:cs="仿宋"/>
          <w:bCs/>
          <w:sz w:val="28"/>
          <w:szCs w:val="28"/>
        </w:rPr>
        <w:t>营商环境不断改善</w:t>
      </w:r>
      <w:r>
        <w:rPr>
          <w:rFonts w:hint="eastAsia" w:ascii="仿宋" w:hAnsi="仿宋" w:eastAsia="仿宋" w:cs="仿宋"/>
          <w:kern w:val="2"/>
          <w:sz w:val="28"/>
          <w:szCs w:val="28"/>
        </w:rPr>
        <w:t>。</w:t>
      </w:r>
    </w:p>
    <w:p>
      <w:pPr>
        <w:pStyle w:val="6"/>
        <w:widowControl/>
        <w:numPr>
          <w:ilvl w:val="0"/>
          <w:numId w:val="3"/>
        </w:numPr>
        <w:shd w:val="clear" w:color="auto" w:fill="FFFFFF"/>
        <w:spacing w:beforeAutospacing="0" w:afterAutospacing="0" w:line="360" w:lineRule="auto"/>
        <w:jc w:val="both"/>
        <w:rPr>
          <w:rFonts w:ascii="仿宋" w:hAnsi="仿宋" w:eastAsia="仿宋" w:cs="仿宋"/>
          <w:kern w:val="2"/>
          <w:sz w:val="28"/>
          <w:szCs w:val="28"/>
        </w:rPr>
      </w:pPr>
      <w:r>
        <w:rPr>
          <w:rFonts w:hint="eastAsia" w:ascii="仿宋" w:hAnsi="仿宋" w:eastAsia="仿宋" w:cs="仿宋"/>
          <w:kern w:val="2"/>
          <w:sz w:val="28"/>
          <w:szCs w:val="28"/>
        </w:rPr>
        <w:t>绩效目标合理性。本部门2020年所设立的整体绩效目标依据充分，符合客观实际；预算资金的使用严格按照部门的目标所涉及的业务范围和计划执行，目标设定符合工作职责并圆满完成了2020年的绩效目标。</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1.3</w:t>
      </w:r>
      <w:bookmarkStart w:id="18" w:name="_Hlk74600364"/>
      <w:r>
        <w:rPr>
          <w:rFonts w:hint="eastAsia" w:ascii="仿宋" w:hAnsi="仿宋" w:eastAsia="仿宋" w:cs="仿宋"/>
          <w:b/>
          <w:bCs/>
          <w:sz w:val="30"/>
          <w:szCs w:val="30"/>
        </w:rPr>
        <w:t>时效指标</w:t>
      </w:r>
    </w:p>
    <w:bookmarkEnd w:id="18"/>
    <w:p>
      <w:pPr>
        <w:pStyle w:val="6"/>
        <w:widowControl/>
        <w:numPr>
          <w:ilvl w:val="0"/>
          <w:numId w:val="3"/>
        </w:numPr>
        <w:shd w:val="clear" w:color="auto" w:fill="FFFFFF"/>
        <w:spacing w:beforeAutospacing="0" w:afterAutospacing="0" w:line="360" w:lineRule="auto"/>
        <w:jc w:val="both"/>
        <w:rPr>
          <w:rFonts w:ascii="仿宋" w:hAnsi="仿宋" w:eastAsia="仿宋" w:cs="仿宋"/>
          <w:kern w:val="2"/>
          <w:sz w:val="28"/>
          <w:szCs w:val="28"/>
        </w:rPr>
      </w:pPr>
      <w:r>
        <w:rPr>
          <w:rFonts w:hint="eastAsia" w:ascii="仿宋" w:hAnsi="仿宋" w:eastAsia="仿宋" w:cs="仿宋"/>
          <w:kern w:val="2"/>
          <w:sz w:val="28"/>
          <w:szCs w:val="28"/>
        </w:rPr>
        <w:t>重点工作完成及时率。全年围绕2020年重点任务和目标落实重点工作，并圆满完成了各项工作目标，重点工作完成率100%。</w:t>
      </w:r>
    </w:p>
    <w:p>
      <w:pPr>
        <w:pStyle w:val="6"/>
        <w:widowControl/>
        <w:numPr>
          <w:ilvl w:val="0"/>
          <w:numId w:val="3"/>
        </w:numPr>
        <w:shd w:val="clear" w:color="auto" w:fill="FFFFFF"/>
        <w:spacing w:beforeAutospacing="0" w:afterAutospacing="0" w:line="360" w:lineRule="auto"/>
        <w:jc w:val="both"/>
        <w:rPr>
          <w:rFonts w:ascii="仿宋" w:hAnsi="仿宋" w:eastAsia="仿宋" w:cs="仿宋"/>
          <w:kern w:val="2"/>
          <w:sz w:val="28"/>
          <w:szCs w:val="28"/>
        </w:rPr>
      </w:pPr>
      <w:r>
        <w:rPr>
          <w:rFonts w:hint="eastAsia" w:ascii="仿宋" w:hAnsi="仿宋" w:eastAsia="仿宋" w:cs="仿宋"/>
          <w:kern w:val="2"/>
          <w:sz w:val="28"/>
          <w:szCs w:val="28"/>
        </w:rPr>
        <w:t>重要精神传达及时率。2020年本局重点学习党的十九届五中全会精神、习近平总书记考察湖南重要讲话精神，重要精神传达及时率100%。</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1.4</w:t>
      </w:r>
      <w:bookmarkStart w:id="19" w:name="_Hlk74600380"/>
      <w:r>
        <w:rPr>
          <w:rFonts w:hint="eastAsia" w:ascii="仿宋" w:hAnsi="仿宋" w:eastAsia="仿宋" w:cs="仿宋"/>
          <w:b/>
          <w:bCs/>
          <w:sz w:val="30"/>
          <w:szCs w:val="30"/>
        </w:rPr>
        <w:t>成本指标</w:t>
      </w:r>
    </w:p>
    <w:bookmarkEnd w:id="19"/>
    <w:p>
      <w:pPr>
        <w:pStyle w:val="6"/>
        <w:widowControl/>
        <w:numPr>
          <w:ilvl w:val="0"/>
          <w:numId w:val="3"/>
        </w:numPr>
        <w:shd w:val="clear" w:color="auto" w:fill="FFFFFF"/>
        <w:spacing w:beforeAutospacing="0" w:afterAutospacing="0" w:line="360" w:lineRule="auto"/>
        <w:jc w:val="both"/>
        <w:rPr>
          <w:rFonts w:ascii="仿宋" w:hAnsi="仿宋" w:eastAsia="仿宋" w:cs="仿宋"/>
          <w:kern w:val="2"/>
          <w:sz w:val="28"/>
          <w:szCs w:val="28"/>
        </w:rPr>
      </w:pPr>
      <w:r>
        <w:rPr>
          <w:rFonts w:hint="eastAsia" w:ascii="仿宋" w:hAnsi="仿宋" w:eastAsia="仿宋" w:cs="仿宋"/>
          <w:kern w:val="2"/>
          <w:sz w:val="28"/>
          <w:szCs w:val="28"/>
        </w:rPr>
        <w:t>在职人员控制率。2020年本局共有编制</w:t>
      </w:r>
      <w:r>
        <w:rPr>
          <w:rFonts w:hint="eastAsia" w:ascii="仿宋" w:hAnsi="仿宋" w:eastAsia="仿宋" w:cs="仿宋"/>
          <w:kern w:val="2"/>
          <w:sz w:val="28"/>
          <w:szCs w:val="28"/>
          <w:lang w:val="en-US" w:eastAsia="zh-CN"/>
        </w:rPr>
        <w:t>106</w:t>
      </w:r>
      <w:r>
        <w:rPr>
          <w:rFonts w:hint="eastAsia" w:ascii="仿宋" w:hAnsi="仿宋" w:eastAsia="仿宋" w:cs="仿宋"/>
          <w:kern w:val="2"/>
          <w:sz w:val="28"/>
          <w:szCs w:val="28"/>
        </w:rPr>
        <w:t>人，2020年末实有在职人数为9</w:t>
      </w:r>
      <w:r>
        <w:rPr>
          <w:rFonts w:ascii="仿宋" w:hAnsi="仿宋" w:eastAsia="仿宋" w:cs="仿宋"/>
          <w:kern w:val="2"/>
          <w:sz w:val="28"/>
          <w:szCs w:val="28"/>
        </w:rPr>
        <w:t>3</w:t>
      </w:r>
      <w:r>
        <w:rPr>
          <w:rFonts w:hint="eastAsia" w:ascii="仿宋" w:hAnsi="仿宋" w:eastAsia="仿宋" w:cs="仿宋"/>
          <w:kern w:val="2"/>
          <w:sz w:val="28"/>
          <w:szCs w:val="28"/>
        </w:rPr>
        <w:t>人，本年度本部门在职人员控制率为</w:t>
      </w:r>
      <w:r>
        <w:rPr>
          <w:rFonts w:hint="eastAsia" w:ascii="仿宋" w:hAnsi="仿宋" w:eastAsia="仿宋" w:cs="仿宋"/>
          <w:kern w:val="2"/>
          <w:sz w:val="28"/>
          <w:szCs w:val="28"/>
          <w:lang w:val="en-US" w:eastAsia="zh-CN"/>
        </w:rPr>
        <w:t>88</w:t>
      </w:r>
      <w:r>
        <w:rPr>
          <w:rFonts w:hint="eastAsia" w:ascii="仿宋" w:hAnsi="仿宋" w:eastAsia="仿宋" w:cs="仿宋"/>
          <w:kern w:val="2"/>
          <w:sz w:val="28"/>
          <w:szCs w:val="28"/>
        </w:rPr>
        <w:t>%。</w:t>
      </w:r>
    </w:p>
    <w:p>
      <w:pPr>
        <w:pStyle w:val="6"/>
        <w:widowControl/>
        <w:numPr>
          <w:ilvl w:val="0"/>
          <w:numId w:val="3"/>
        </w:numPr>
        <w:shd w:val="clear" w:color="auto" w:fill="FFFFFF"/>
        <w:spacing w:beforeAutospacing="0" w:afterAutospacing="0" w:line="360" w:lineRule="auto"/>
        <w:jc w:val="both"/>
        <w:rPr>
          <w:rFonts w:ascii="仿宋" w:hAnsi="仿宋" w:eastAsia="仿宋" w:cs="仿宋"/>
          <w:kern w:val="2"/>
          <w:sz w:val="28"/>
          <w:szCs w:val="28"/>
        </w:rPr>
      </w:pPr>
      <w:r>
        <w:rPr>
          <w:rFonts w:hint="eastAsia" w:ascii="仿宋" w:hAnsi="仿宋" w:eastAsia="仿宋" w:cs="仿宋"/>
          <w:kern w:val="2"/>
          <w:sz w:val="28"/>
          <w:szCs w:val="28"/>
        </w:rPr>
        <w:t>公用经费控制率。2020年公用经费预算 238.33 万元，实际执行261.74万元。公用经费控制率</w:t>
      </w:r>
      <w:r>
        <w:rPr>
          <w:rFonts w:hint="eastAsia" w:ascii="仿宋" w:hAnsi="仿宋" w:eastAsia="仿宋" w:cs="仿宋"/>
          <w:kern w:val="2"/>
          <w:sz w:val="28"/>
          <w:szCs w:val="28"/>
          <w:lang w:val="en-US" w:eastAsia="zh-CN"/>
        </w:rPr>
        <w:t>109</w:t>
      </w:r>
      <w:r>
        <w:rPr>
          <w:rFonts w:hint="eastAsia" w:ascii="仿宋" w:hAnsi="仿宋" w:eastAsia="仿宋" w:cs="仿宋"/>
          <w:kern w:val="2"/>
          <w:sz w:val="28"/>
          <w:szCs w:val="28"/>
        </w:rPr>
        <w:t>%。</w:t>
      </w:r>
    </w:p>
    <w:p>
      <w:pPr>
        <w:pStyle w:val="6"/>
        <w:widowControl/>
        <w:numPr>
          <w:ilvl w:val="0"/>
          <w:numId w:val="3"/>
        </w:numPr>
        <w:shd w:val="clear" w:color="auto" w:fill="FFFFFF"/>
        <w:spacing w:beforeAutospacing="0" w:afterAutospacing="0" w:line="360" w:lineRule="auto"/>
        <w:jc w:val="both"/>
        <w:rPr>
          <w:rFonts w:ascii="仿宋" w:hAnsi="仿宋" w:eastAsia="仿宋" w:cs="仿宋"/>
          <w:color w:val="auto"/>
          <w:kern w:val="2"/>
          <w:sz w:val="28"/>
          <w:szCs w:val="28"/>
        </w:rPr>
      </w:pPr>
      <w:r>
        <w:rPr>
          <w:rFonts w:hint="eastAsia" w:ascii="仿宋" w:hAnsi="仿宋" w:eastAsia="仿宋" w:cs="仿宋"/>
          <w:color w:val="auto"/>
          <w:kern w:val="2"/>
          <w:sz w:val="28"/>
          <w:szCs w:val="28"/>
        </w:rPr>
        <w:t>三公经费控制率。2020年局三公经费预算</w:t>
      </w:r>
      <w:r>
        <w:rPr>
          <w:rFonts w:hint="eastAsia" w:ascii="仿宋" w:hAnsi="仿宋" w:eastAsia="仿宋" w:cs="仿宋"/>
          <w:color w:val="auto"/>
          <w:kern w:val="2"/>
          <w:sz w:val="28"/>
          <w:szCs w:val="28"/>
          <w:lang w:val="en-US" w:eastAsia="zh-CN"/>
        </w:rPr>
        <w:t>130.10</w:t>
      </w:r>
      <w:r>
        <w:rPr>
          <w:rFonts w:hint="eastAsia" w:ascii="仿宋" w:hAnsi="仿宋" w:eastAsia="仿宋" w:cs="仿宋"/>
          <w:color w:val="auto"/>
          <w:kern w:val="2"/>
          <w:sz w:val="28"/>
          <w:szCs w:val="28"/>
        </w:rPr>
        <w:t>万元，</w:t>
      </w:r>
      <w:r>
        <w:rPr>
          <w:rFonts w:hint="eastAsia" w:ascii="仿宋" w:hAnsi="仿宋" w:eastAsia="仿宋" w:cs="仿宋"/>
          <w:color w:val="auto"/>
          <w:sz w:val="28"/>
          <w:szCs w:val="28"/>
        </w:rPr>
        <w:t>实际执行</w:t>
      </w:r>
      <w:r>
        <w:rPr>
          <w:rFonts w:hint="eastAsia" w:ascii="仿宋" w:hAnsi="仿宋" w:eastAsia="仿宋" w:cs="仿宋"/>
          <w:color w:val="auto"/>
          <w:sz w:val="28"/>
          <w:szCs w:val="28"/>
          <w:lang w:val="en-US" w:eastAsia="zh-CN"/>
        </w:rPr>
        <w:t>65.59</w:t>
      </w:r>
      <w:r>
        <w:rPr>
          <w:rFonts w:hint="eastAsia" w:ascii="仿宋" w:hAnsi="仿宋" w:eastAsia="仿宋" w:cs="仿宋"/>
          <w:color w:val="auto"/>
          <w:sz w:val="28"/>
          <w:szCs w:val="28"/>
        </w:rPr>
        <w:t>万元。2020年公务用车购置及运行维护费</w:t>
      </w:r>
      <w:r>
        <w:rPr>
          <w:rFonts w:hint="eastAsia" w:ascii="仿宋" w:hAnsi="仿宋" w:eastAsia="仿宋" w:cs="仿宋"/>
          <w:color w:val="auto"/>
          <w:sz w:val="28"/>
          <w:szCs w:val="28"/>
          <w:lang w:val="en-US" w:eastAsia="zh-CN"/>
        </w:rPr>
        <w:t>55.14万元，其中公务用车购置费29.98万元，公务用车运行维护费25.16万元；</w:t>
      </w:r>
      <w:r>
        <w:rPr>
          <w:rFonts w:hint="eastAsia" w:ascii="仿宋" w:hAnsi="仿宋" w:eastAsia="仿宋" w:cs="仿宋"/>
          <w:color w:val="auto"/>
          <w:sz w:val="28"/>
          <w:szCs w:val="28"/>
        </w:rPr>
        <w:t>公务接待费支出</w:t>
      </w:r>
      <w:r>
        <w:rPr>
          <w:rFonts w:hint="eastAsia" w:ascii="仿宋" w:hAnsi="仿宋" w:eastAsia="仿宋" w:cs="仿宋"/>
          <w:color w:val="auto"/>
          <w:sz w:val="28"/>
          <w:szCs w:val="28"/>
          <w:lang w:val="en-US" w:eastAsia="zh-CN"/>
        </w:rPr>
        <w:t>10.44</w:t>
      </w:r>
      <w:r>
        <w:rPr>
          <w:rFonts w:hint="eastAsia" w:ascii="仿宋" w:hAnsi="仿宋" w:eastAsia="仿宋" w:cs="仿宋"/>
          <w:color w:val="auto"/>
          <w:sz w:val="28"/>
          <w:szCs w:val="28"/>
        </w:rPr>
        <w:t>万元。</w:t>
      </w:r>
      <w:r>
        <w:rPr>
          <w:rFonts w:hint="eastAsia" w:ascii="仿宋" w:hAnsi="仿宋" w:eastAsia="仿宋" w:cs="仿宋"/>
          <w:color w:val="auto"/>
          <w:kern w:val="2"/>
          <w:sz w:val="28"/>
          <w:szCs w:val="28"/>
        </w:rPr>
        <w:t>三公经费控制率为</w:t>
      </w:r>
      <w:r>
        <w:rPr>
          <w:rFonts w:hint="eastAsia" w:ascii="仿宋" w:hAnsi="仿宋" w:eastAsia="仿宋" w:cs="仿宋"/>
          <w:color w:val="auto"/>
          <w:kern w:val="2"/>
          <w:sz w:val="28"/>
          <w:szCs w:val="28"/>
          <w:lang w:val="en-US" w:eastAsia="zh-CN"/>
        </w:rPr>
        <w:t>50.40</w:t>
      </w:r>
      <w:r>
        <w:rPr>
          <w:rFonts w:hint="eastAsia" w:ascii="仿宋" w:hAnsi="仿宋" w:eastAsia="仿宋" w:cs="仿宋"/>
          <w:color w:val="auto"/>
          <w:kern w:val="2"/>
          <w:sz w:val="28"/>
          <w:szCs w:val="28"/>
        </w:rPr>
        <w:t>%。</w:t>
      </w:r>
    </w:p>
    <w:p>
      <w:pPr>
        <w:pStyle w:val="6"/>
        <w:widowControl/>
        <w:numPr>
          <w:ilvl w:val="0"/>
          <w:numId w:val="3"/>
        </w:numPr>
        <w:shd w:val="clear" w:color="auto" w:fill="FFFFFF"/>
        <w:spacing w:beforeAutospacing="0" w:afterAutospacing="0" w:line="360" w:lineRule="auto"/>
        <w:jc w:val="both"/>
        <w:rPr>
          <w:rFonts w:ascii="仿宋" w:hAnsi="仿宋" w:eastAsia="仿宋" w:cs="仿宋"/>
          <w:kern w:val="2"/>
          <w:sz w:val="28"/>
          <w:szCs w:val="28"/>
        </w:rPr>
      </w:pPr>
      <w:r>
        <w:rPr>
          <w:rFonts w:hint="eastAsia" w:ascii="仿宋" w:hAnsi="仿宋" w:eastAsia="仿宋" w:cs="仿宋"/>
          <w:kern w:val="2"/>
          <w:sz w:val="28"/>
          <w:szCs w:val="28"/>
        </w:rPr>
        <w:t>政府采购执行率。2020年政府采购预算608.45元，实际执行</w:t>
      </w:r>
      <w:bookmarkStart w:id="20" w:name="_Hlk75497899"/>
      <w:r>
        <w:rPr>
          <w:rFonts w:hint="eastAsia" w:ascii="仿宋" w:hAnsi="仿宋" w:eastAsia="仿宋" w:cs="仿宋"/>
          <w:kern w:val="2"/>
          <w:sz w:val="28"/>
          <w:szCs w:val="28"/>
        </w:rPr>
        <w:t>608.45</w:t>
      </w:r>
      <w:bookmarkEnd w:id="20"/>
      <w:r>
        <w:rPr>
          <w:rFonts w:hint="eastAsia" w:ascii="仿宋" w:hAnsi="仿宋" w:eastAsia="仿宋" w:cs="仿宋"/>
          <w:kern w:val="2"/>
          <w:sz w:val="28"/>
          <w:szCs w:val="28"/>
        </w:rPr>
        <w:t>万元。</w:t>
      </w:r>
    </w:p>
    <w:p>
      <w:pPr>
        <w:pStyle w:val="6"/>
        <w:widowControl/>
        <w:numPr>
          <w:ilvl w:val="0"/>
          <w:numId w:val="3"/>
        </w:numPr>
        <w:shd w:val="clear" w:color="auto" w:fill="FFFFFF"/>
        <w:spacing w:beforeAutospacing="0" w:afterAutospacing="0" w:line="360" w:lineRule="auto"/>
        <w:jc w:val="both"/>
        <w:rPr>
          <w:rFonts w:ascii="仿宋" w:hAnsi="仿宋" w:eastAsia="仿宋" w:cs="仿宋"/>
          <w:kern w:val="2"/>
          <w:sz w:val="28"/>
          <w:szCs w:val="28"/>
        </w:rPr>
      </w:pPr>
      <w:r>
        <w:rPr>
          <w:rFonts w:hint="eastAsia" w:ascii="仿宋" w:hAnsi="仿宋" w:eastAsia="仿宋" w:cs="仿宋"/>
          <w:kern w:val="2"/>
          <w:sz w:val="28"/>
          <w:szCs w:val="28"/>
        </w:rPr>
        <w:t>固定资产利用率。本局加强资产管理，充分利用现有固定资产，固定资产利用率为100%。</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2、效益指标（30分）</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2.1经济效益</w:t>
      </w:r>
    </w:p>
    <w:p>
      <w:pPr>
        <w:pStyle w:val="6"/>
        <w:widowControl/>
        <w:shd w:val="clear" w:color="auto" w:fill="FFFFFF"/>
        <w:spacing w:beforeAutospacing="0" w:afterAutospacing="0" w:line="360" w:lineRule="auto"/>
        <w:ind w:firstLine="560" w:firstLineChars="200"/>
        <w:jc w:val="both"/>
        <w:rPr>
          <w:rFonts w:ascii="仿宋" w:hAnsi="仿宋" w:eastAsia="仿宋" w:cs="仿宋"/>
          <w:color w:val="auto"/>
          <w:kern w:val="2"/>
          <w:sz w:val="28"/>
          <w:szCs w:val="28"/>
        </w:rPr>
      </w:pPr>
      <w:r>
        <w:rPr>
          <w:rFonts w:hint="eastAsia" w:ascii="仿宋" w:hAnsi="仿宋" w:eastAsia="仿宋" w:cs="仿宋"/>
          <w:color w:val="auto"/>
          <w:kern w:val="2"/>
          <w:sz w:val="28"/>
          <w:szCs w:val="28"/>
          <w:lang w:val="en-US" w:eastAsia="zh-CN"/>
        </w:rPr>
        <w:t>2020年，以谋划和推进落实重点项目为抓手，促进落实“六稳”工作和“六保”任务，坚持疫情防控和项目建设“两手抓、两手硬、两不误”，指导全州重点项目抓紧复工开工。2020年</w:t>
      </w:r>
      <w:r>
        <w:rPr>
          <w:rFonts w:hint="eastAsia" w:ascii="仿宋" w:hAnsi="仿宋" w:eastAsia="仿宋" w:cs="仿宋"/>
          <w:color w:val="auto"/>
          <w:kern w:val="2"/>
          <w:sz w:val="28"/>
          <w:szCs w:val="28"/>
        </w:rPr>
        <w:t xml:space="preserve">开展全州重点项目集中开工活动3次，集中开工活动的组织有效推进了全州抓投资促发展工作，8月份实现投资转正，全年固定资产投资增长6.1%。其中省重点项目方面：24个省重点建设项目完成投资117.5亿元，为年投资计划的175％，超额完成年度投资任务。州重点项目方面：273个州重点建设项目完成投资509.7亿元，完成考核任务的127%，张吉怀高铁铺轨建设全面开始、湘西机场跑道土石方工程全面完成、龙桑高速开工建设、“龙山-花垣”段天然气长输管网实现通气点火。省“五个100”项目方面：3个省重大产业项目完成投资26.7亿元，为计划的136.9%。州重点产业项目方面：130个州重点产业项目完成投资217.7亿元，为年度计划任务的103.8%。 </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2.2社会效益分析</w:t>
      </w:r>
    </w:p>
    <w:p>
      <w:pPr>
        <w:spacing w:line="58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2020年，在州委、州政府的坚强领导下，</w:t>
      </w:r>
      <w:r>
        <w:rPr>
          <w:rFonts w:hint="eastAsia" w:ascii="仿宋" w:hAnsi="仿宋" w:eastAsia="仿宋" w:cs="仿宋"/>
          <w:sz w:val="28"/>
          <w:szCs w:val="28"/>
        </w:rPr>
        <w:t>认真落实国家和省里出台的支持企业复工复产、降成本等政策，充分发挥政策激励效应，32家企业纳入疫情防控重点保障物资生产企业名单管理，落实减税3765万元。对国网电费实行阶段性9.5折优惠政策，继续对部分高载能企业和高新技术企业执行优惠电价政策，优惠金额1.9亿元以上。按政策阶段性下调非居民用天然气销售价格，吉首市下调0.6元/立方米，7县均下调0.4元/立方米，累计优惠金额203.5万元。加快推进园区建设</w:t>
      </w:r>
      <w:r>
        <w:rPr>
          <w:rFonts w:hint="eastAsia" w:ascii="仿宋" w:hAnsi="仿宋" w:eastAsia="仿宋" w:cs="仿宋"/>
          <w:sz w:val="28"/>
          <w:szCs w:val="28"/>
          <w:lang w:eastAsia="zh-CN"/>
        </w:rPr>
        <w:t>，</w:t>
      </w:r>
      <w:r>
        <w:rPr>
          <w:rFonts w:hint="eastAsia" w:ascii="仿宋" w:hAnsi="仿宋" w:eastAsia="仿宋" w:cs="仿宋"/>
          <w:sz w:val="28"/>
          <w:szCs w:val="28"/>
        </w:rPr>
        <w:t>新建标准厂房118万平方米；泸溪高新区、凤凰工业集中区污水处理厂建成运营，全州产业园区污水管网基本实现进园企业全覆盖</w:t>
      </w:r>
      <w:r>
        <w:rPr>
          <w:rFonts w:hint="eastAsia" w:ascii="仿宋" w:hAnsi="仿宋" w:eastAsia="仿宋" w:cs="仿宋"/>
          <w:sz w:val="28"/>
          <w:szCs w:val="28"/>
          <w:lang w:eastAsia="zh-CN"/>
        </w:rPr>
        <w:t>，</w:t>
      </w:r>
      <w:r>
        <w:rPr>
          <w:rFonts w:hint="eastAsia" w:ascii="仿宋" w:hAnsi="仿宋" w:eastAsia="仿宋" w:cs="仿宋"/>
          <w:kern w:val="0"/>
          <w:sz w:val="28"/>
          <w:szCs w:val="28"/>
        </w:rPr>
        <w:t>为全州经济社会快速发展做出了积极贡献。</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rPr>
        <w:t>2.3、生态效益和可持续性分析</w:t>
      </w:r>
    </w:p>
    <w:p>
      <w:pPr>
        <w:widowControl/>
        <w:spacing w:line="580" w:lineRule="exact"/>
        <w:ind w:firstLine="560" w:firstLineChars="200"/>
        <w:outlineLvl w:val="0"/>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2020年</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lang w:val="en-US" w:eastAsia="zh-CN"/>
        </w:rPr>
        <w:t>本部门</w:t>
      </w:r>
      <w:r>
        <w:rPr>
          <w:rFonts w:hint="eastAsia" w:ascii="仿宋" w:hAnsi="仿宋" w:eastAsia="仿宋" w:cs="仿宋"/>
          <w:color w:val="auto"/>
          <w:kern w:val="0"/>
          <w:sz w:val="28"/>
          <w:szCs w:val="28"/>
        </w:rPr>
        <w:t>全力打好污染防治攻坚战</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扎实推进2019年长江经济带生态环境警示片披露问题整改，配合国家发改委开展“锰三角锰产业发展”专题调研</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认真落实省定能源“双控”目标，开展全州9个省级园区的区域节能评估工作，推进重点用能单位节能监察、举办年度节能宣传周系列活动</w:t>
      </w:r>
      <w:r>
        <w:rPr>
          <w:rFonts w:hint="eastAsia" w:ascii="仿宋" w:hAnsi="仿宋" w:eastAsia="仿宋" w:cs="仿宋"/>
          <w:color w:val="auto"/>
          <w:kern w:val="0"/>
          <w:sz w:val="28"/>
          <w:szCs w:val="28"/>
          <w:lang w:eastAsia="zh-CN"/>
        </w:rPr>
        <w:t>；进一步完善政府投资评审工作，强化政府投资风险评估，严格控制投资概算，完成评审任务25项，节约政府投资逾千万元，核减不合理能源消费90.85吨标准煤，退回不符合规范要求和建设标准的项目3项，</w:t>
      </w:r>
      <w:r>
        <w:rPr>
          <w:rFonts w:hint="eastAsia" w:ascii="仿宋" w:hAnsi="仿宋" w:eastAsia="仿宋" w:cs="仿宋"/>
          <w:color w:val="auto"/>
          <w:kern w:val="0"/>
          <w:sz w:val="28"/>
          <w:szCs w:val="28"/>
          <w:lang w:val="en-US" w:eastAsia="zh-CN"/>
        </w:rPr>
        <w:t>持续加强经济社会风险防范，保障社会经济可持续健康发展。</w:t>
      </w:r>
    </w:p>
    <w:p>
      <w:pPr>
        <w:widowControl/>
        <w:spacing w:line="580" w:lineRule="exact"/>
        <w:ind w:firstLine="602" w:firstLineChars="200"/>
        <w:outlineLvl w:val="0"/>
        <w:rPr>
          <w:rFonts w:hint="eastAsia" w:ascii="仿宋" w:hAnsi="仿宋" w:eastAsia="仿宋" w:cs="仿宋"/>
          <w:b/>
          <w:bCs/>
          <w:color w:val="auto"/>
          <w:sz w:val="30"/>
          <w:szCs w:val="30"/>
        </w:rPr>
      </w:pPr>
      <w:r>
        <w:rPr>
          <w:rFonts w:hint="eastAsia" w:ascii="仿宋" w:hAnsi="仿宋" w:eastAsia="仿宋" w:cs="仿宋"/>
          <w:b/>
          <w:bCs/>
          <w:color w:val="auto"/>
          <w:sz w:val="30"/>
          <w:szCs w:val="30"/>
        </w:rPr>
        <w:t>3、满意度指标（10分）</w:t>
      </w:r>
    </w:p>
    <w:p>
      <w:pPr>
        <w:spacing w:line="580" w:lineRule="exact"/>
        <w:ind w:firstLine="560" w:firstLineChars="200"/>
        <w:rPr>
          <w:rFonts w:ascii="仿宋" w:hAnsi="仿宋" w:eastAsia="仿宋" w:cs="仿宋"/>
          <w:b/>
          <w:bCs/>
          <w:color w:val="auto"/>
          <w:sz w:val="28"/>
          <w:szCs w:val="28"/>
        </w:rPr>
      </w:pPr>
      <w:r>
        <w:rPr>
          <w:rFonts w:hint="eastAsia" w:ascii="仿宋" w:hAnsi="仿宋" w:eastAsia="仿宋" w:cs="仿宋"/>
          <w:color w:val="auto"/>
          <w:kern w:val="0"/>
          <w:sz w:val="28"/>
          <w:szCs w:val="28"/>
        </w:rPr>
        <w:t>2020年，</w:t>
      </w:r>
      <w:r>
        <w:rPr>
          <w:rFonts w:hint="eastAsia" w:ascii="仿宋" w:hAnsi="仿宋" w:eastAsia="仿宋" w:cs="仿宋"/>
          <w:color w:val="auto"/>
          <w:kern w:val="0"/>
          <w:sz w:val="28"/>
          <w:szCs w:val="28"/>
          <w:lang w:val="en-US" w:eastAsia="zh-CN"/>
        </w:rPr>
        <w:t>本部门</w:t>
      </w:r>
      <w:r>
        <w:rPr>
          <w:rFonts w:hint="eastAsia" w:ascii="仿宋" w:hAnsi="仿宋" w:eastAsia="仿宋" w:cs="仿宋"/>
          <w:color w:val="auto"/>
          <w:sz w:val="28"/>
          <w:szCs w:val="28"/>
        </w:rPr>
        <w:t>在州委、州政府的坚强领导下</w:t>
      </w: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val="en-US" w:eastAsia="zh-CN"/>
        </w:rPr>
        <w:t>本部门</w:t>
      </w:r>
      <w:r>
        <w:rPr>
          <w:rFonts w:hint="eastAsia" w:ascii="仿宋" w:hAnsi="仿宋" w:eastAsia="仿宋" w:cs="仿宋"/>
          <w:color w:val="auto"/>
          <w:kern w:val="0"/>
          <w:sz w:val="28"/>
          <w:szCs w:val="28"/>
        </w:rPr>
        <w:t>干部职工切实转变工作作风</w:t>
      </w:r>
      <w:r>
        <w:rPr>
          <w:rFonts w:hint="eastAsia" w:ascii="仿宋" w:hAnsi="仿宋" w:eastAsia="仿宋" w:cs="仿宋"/>
          <w:color w:val="auto"/>
          <w:sz w:val="28"/>
          <w:szCs w:val="28"/>
        </w:rPr>
        <w:t>，全州发改系统统筹疫情防控物资保障和企业复工复产，扎实做好“六稳”、“六保”工作，坚持一手抓疫情防控、一手抓经济发展，采取有力措施，坚守工作激情、主动作为、担当实干，做了大量卓有成效的工作，为全州各项发展改革任务的顺利推进贡献了发改力量。</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七、综合评价情况及评价结论</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通过此次绩效自评，本局部门整体支出绩效自评得分为</w:t>
      </w:r>
      <w:r>
        <w:rPr>
          <w:rFonts w:hint="eastAsia" w:ascii="仿宋" w:hAnsi="仿宋" w:eastAsia="仿宋" w:cs="仿宋"/>
          <w:sz w:val="28"/>
          <w:szCs w:val="28"/>
          <w:lang w:val="en-US" w:eastAsia="zh-CN"/>
        </w:rPr>
        <w:t>98</w:t>
      </w:r>
      <w:r>
        <w:rPr>
          <w:rFonts w:hint="eastAsia" w:ascii="仿宋" w:hAnsi="仿宋" w:eastAsia="仿宋" w:cs="仿宋"/>
          <w:sz w:val="28"/>
          <w:szCs w:val="28"/>
        </w:rPr>
        <w:t>分，其中：整体资金指标10分，产出指标48分，效益指标</w:t>
      </w:r>
      <w:r>
        <w:rPr>
          <w:rFonts w:hint="eastAsia" w:ascii="仿宋" w:hAnsi="仿宋" w:eastAsia="仿宋" w:cs="仿宋"/>
          <w:sz w:val="28"/>
          <w:szCs w:val="28"/>
          <w:lang w:val="en-US" w:eastAsia="zh-CN"/>
        </w:rPr>
        <w:t>30</w:t>
      </w:r>
      <w:r>
        <w:rPr>
          <w:rFonts w:hint="eastAsia" w:ascii="仿宋" w:hAnsi="仿宋" w:eastAsia="仿宋" w:cs="仿宋"/>
          <w:sz w:val="28"/>
          <w:szCs w:val="28"/>
        </w:rPr>
        <w:t>分，满意度指标10分，本局评价结果等次为“优”。详细评价情况见附件</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八、主要经验做法、存在的问题及原因分析</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480"/>
        <w:textAlignment w:val="auto"/>
        <w:rPr>
          <w:rFonts w:hint="eastAsia" w:ascii="仿宋" w:hAnsi="仿宋" w:eastAsia="仿宋" w:cs="仿宋"/>
          <w:b/>
          <w:bCs/>
          <w:sz w:val="30"/>
          <w:szCs w:val="30"/>
        </w:rPr>
      </w:pPr>
      <w:r>
        <w:rPr>
          <w:rFonts w:hint="eastAsia" w:ascii="仿宋" w:hAnsi="仿宋" w:eastAsia="仿宋" w:cs="仿宋"/>
          <w:b/>
          <w:bCs/>
          <w:sz w:val="30"/>
          <w:szCs w:val="30"/>
          <w:lang w:val="en-US" w:eastAsia="zh-CN"/>
        </w:rPr>
        <w:t>1、</w:t>
      </w:r>
      <w:r>
        <w:rPr>
          <w:rFonts w:hint="eastAsia" w:ascii="仿宋" w:hAnsi="仿宋" w:eastAsia="仿宋" w:cs="仿宋"/>
          <w:b/>
          <w:bCs/>
          <w:sz w:val="30"/>
          <w:szCs w:val="30"/>
        </w:rPr>
        <w:t>主要做法</w:t>
      </w:r>
    </w:p>
    <w:p>
      <w:pPr>
        <w:widowControl/>
        <w:spacing w:before="183" w:beforeLines="50" w:line="580" w:lineRule="exact"/>
        <w:outlineLvl w:val="0"/>
        <w:rPr>
          <w:rFonts w:ascii="仿宋" w:hAnsi="仿宋" w:eastAsia="仿宋" w:cs="仿宋"/>
          <w:kern w:val="0"/>
          <w:sz w:val="28"/>
          <w:szCs w:val="28"/>
        </w:rPr>
      </w:pPr>
      <w:r>
        <w:rPr>
          <w:rFonts w:hint="eastAsia" w:ascii="仿宋" w:hAnsi="仿宋" w:eastAsia="仿宋" w:cs="仿宋"/>
          <w:kern w:val="0"/>
          <w:sz w:val="28"/>
          <w:szCs w:val="28"/>
        </w:rPr>
        <w:t xml:space="preserve">（1）细化预算编制工作，认真做好预算的编制。进一步加强预算绩效管理意识，严格按照预算编制的相关制度和要求进行预算编制，优先保障固定性的、相对刚性的费用支出项目，进一步提高预算编制的科学性、严谨性和可控性。 </w:t>
      </w:r>
    </w:p>
    <w:p>
      <w:pPr>
        <w:widowControl/>
        <w:spacing w:before="183" w:beforeLines="50" w:line="580" w:lineRule="exact"/>
        <w:outlineLvl w:val="0"/>
        <w:rPr>
          <w:rFonts w:ascii="仿宋" w:hAnsi="仿宋" w:eastAsia="仿宋" w:cs="仿宋"/>
          <w:kern w:val="0"/>
          <w:sz w:val="28"/>
          <w:szCs w:val="28"/>
        </w:rPr>
      </w:pPr>
      <w:r>
        <w:rPr>
          <w:rFonts w:hint="eastAsia" w:ascii="仿宋" w:hAnsi="仿宋" w:eastAsia="仿宋" w:cs="仿宋"/>
          <w:kern w:val="0"/>
          <w:sz w:val="28"/>
          <w:szCs w:val="28"/>
        </w:rPr>
        <w:t xml:space="preserve">（2）加强财务管理，严格财务审核。在费用报账支付时，按照预算编制时的金额和用途进行资金使用审核、列报支付、财务核算，杜绝超支现象的发生。 </w:t>
      </w:r>
    </w:p>
    <w:p>
      <w:pPr>
        <w:widowControl/>
        <w:spacing w:before="183" w:beforeLines="50" w:line="580" w:lineRule="exact"/>
        <w:outlineLvl w:val="0"/>
        <w:rPr>
          <w:rFonts w:ascii="仿宋" w:hAnsi="仿宋" w:eastAsia="仿宋" w:cs="仿宋"/>
          <w:kern w:val="0"/>
          <w:sz w:val="28"/>
          <w:szCs w:val="28"/>
        </w:rPr>
      </w:pPr>
      <w:r>
        <w:rPr>
          <w:rFonts w:hint="eastAsia" w:ascii="仿宋" w:hAnsi="仿宋" w:eastAsia="仿宋" w:cs="仿宋"/>
          <w:kern w:val="0"/>
          <w:sz w:val="28"/>
          <w:szCs w:val="28"/>
        </w:rPr>
        <w:t xml:space="preserve">（3）加强绩效评价结果的应用，促进预算项目规范有序开展。将绩效评价结果及时通报承担的科局室，对于评价结果较好的项目予以支持，激励其更好地开展工作；对评价发现问题、达不到绩效目标或评价结果较差的项目予以纠正，充分发挥财政资金使用效益。 </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2、存在问题</w:t>
      </w:r>
    </w:p>
    <w:p>
      <w:pPr>
        <w:widowControl/>
        <w:spacing w:before="183" w:beforeLines="50" w:line="580" w:lineRule="exact"/>
        <w:outlineLvl w:val="0"/>
        <w:rPr>
          <w:rFonts w:ascii="仿宋" w:hAnsi="仿宋" w:eastAsia="仿宋" w:cs="仿宋"/>
          <w:kern w:val="0"/>
          <w:sz w:val="28"/>
          <w:szCs w:val="28"/>
        </w:rPr>
      </w:pPr>
      <w:r>
        <w:rPr>
          <w:rFonts w:hint="eastAsia" w:ascii="仿宋" w:hAnsi="仿宋" w:eastAsia="仿宋" w:cs="仿宋"/>
          <w:kern w:val="0"/>
          <w:sz w:val="28"/>
          <w:szCs w:val="28"/>
        </w:rPr>
        <w:t>（1）项目绩效目标设定的科学性、合理性有待加强。三级绩效指标设置不够规范，绩效指标类型设定不够规范、准确，设定的绩效指标指向不够明确，无法突出部门职责职能和工作重点方向；</w:t>
      </w:r>
    </w:p>
    <w:p>
      <w:pPr>
        <w:widowControl/>
        <w:spacing w:before="183" w:beforeLines="50" w:line="580" w:lineRule="exact"/>
        <w:outlineLvl w:val="0"/>
        <w:rPr>
          <w:rFonts w:ascii="仿宋" w:hAnsi="仿宋" w:eastAsia="仿宋" w:cs="仿宋"/>
          <w:kern w:val="0"/>
          <w:sz w:val="28"/>
          <w:szCs w:val="28"/>
        </w:rPr>
      </w:pPr>
      <w:r>
        <w:rPr>
          <w:rFonts w:hint="eastAsia" w:ascii="仿宋" w:hAnsi="仿宋" w:eastAsia="仿宋" w:cs="仿宋"/>
          <w:kern w:val="0"/>
          <w:sz w:val="28"/>
          <w:szCs w:val="28"/>
        </w:rPr>
        <w:t>（2）各项工作推进力度还需加大。部分年初计划开展的工作推进缓慢，导致年初设定目标未能完成；</w:t>
      </w:r>
    </w:p>
    <w:p>
      <w:pPr>
        <w:widowControl/>
        <w:spacing w:before="183" w:beforeLines="50" w:line="580" w:lineRule="exact"/>
        <w:outlineLvl w:val="0"/>
        <w:rPr>
          <w:rFonts w:ascii="仿宋" w:hAnsi="仿宋" w:eastAsia="仿宋" w:cs="仿宋"/>
          <w:kern w:val="0"/>
          <w:sz w:val="28"/>
          <w:szCs w:val="28"/>
        </w:rPr>
      </w:pPr>
      <w:r>
        <w:rPr>
          <w:rFonts w:hint="eastAsia" w:ascii="仿宋" w:hAnsi="仿宋" w:eastAsia="仿宋" w:cs="仿宋"/>
          <w:kern w:val="0"/>
          <w:sz w:val="28"/>
          <w:szCs w:val="28"/>
        </w:rPr>
        <w:t>（3）预算不够精准。由于年初对部分工作的不可预见性，在执行的过程中对部分项目内容进行调整。 </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textAlignment w:val="auto"/>
        <w:rPr>
          <w:rFonts w:hint="eastAsia" w:ascii="仿宋" w:hAnsi="仿宋" w:eastAsia="仿宋" w:cs="仿宋"/>
          <w:b/>
          <w:bCs/>
          <w:sz w:val="30"/>
          <w:szCs w:val="30"/>
        </w:rPr>
      </w:pPr>
      <w:r>
        <w:rPr>
          <w:rFonts w:hint="eastAsia" w:ascii="仿宋" w:hAnsi="仿宋" w:eastAsia="仿宋" w:cs="仿宋"/>
          <w:b/>
          <w:bCs/>
          <w:sz w:val="30"/>
          <w:szCs w:val="30"/>
          <w:lang w:val="en-US" w:eastAsia="zh-CN"/>
        </w:rPr>
        <w:t>3</w:t>
      </w:r>
      <w:r>
        <w:rPr>
          <w:rFonts w:hint="eastAsia" w:ascii="仿宋" w:hAnsi="仿宋" w:eastAsia="仿宋" w:cs="仿宋"/>
          <w:b/>
          <w:bCs/>
          <w:sz w:val="30"/>
          <w:szCs w:val="30"/>
        </w:rPr>
        <w:t>、改进措施</w:t>
      </w:r>
    </w:p>
    <w:p>
      <w:pPr>
        <w:widowControl/>
        <w:spacing w:before="183" w:beforeLines="50" w:line="580" w:lineRule="exact"/>
        <w:outlineLvl w:val="0"/>
        <w:rPr>
          <w:rFonts w:hint="eastAsia" w:ascii="仿宋" w:hAnsi="仿宋" w:eastAsia="仿宋" w:cs="仿宋"/>
          <w:kern w:val="0"/>
          <w:sz w:val="28"/>
          <w:szCs w:val="28"/>
        </w:rPr>
      </w:pPr>
      <w:r>
        <w:rPr>
          <w:rFonts w:hint="eastAsia" w:ascii="仿宋" w:hAnsi="仿宋" w:eastAsia="仿宋" w:cs="仿宋"/>
          <w:kern w:val="0"/>
          <w:sz w:val="28"/>
          <w:szCs w:val="28"/>
        </w:rPr>
        <w:t>（1）加强绩效管理，科学设置绩效指标，将预算绩效工作抓好抓实；</w:t>
      </w:r>
    </w:p>
    <w:p>
      <w:pPr>
        <w:widowControl/>
        <w:spacing w:before="183" w:beforeLines="50" w:line="580" w:lineRule="exact"/>
        <w:outlineLvl w:val="0"/>
        <w:rPr>
          <w:rFonts w:ascii="仿宋" w:hAnsi="仿宋" w:eastAsia="仿宋" w:cs="仿宋"/>
          <w:kern w:val="0"/>
          <w:sz w:val="28"/>
          <w:szCs w:val="28"/>
        </w:rPr>
      </w:pPr>
      <w:r>
        <w:rPr>
          <w:rFonts w:hint="eastAsia" w:ascii="仿宋" w:hAnsi="仿宋" w:eastAsia="仿宋" w:cs="仿宋"/>
          <w:kern w:val="0"/>
          <w:sz w:val="28"/>
          <w:szCs w:val="28"/>
        </w:rPr>
        <w:t>（2）对各项工作提前谋划，统筹安排，合理配置，不断完善支出结构，加快支出进度，提高资金使用率，确保绩效目标的实现；</w:t>
      </w:r>
    </w:p>
    <w:p>
      <w:pPr>
        <w:widowControl/>
        <w:spacing w:before="183" w:beforeLines="50" w:line="580" w:lineRule="exact"/>
        <w:outlineLvl w:val="0"/>
        <w:rPr>
          <w:rFonts w:ascii="仿宋" w:hAnsi="仿宋" w:eastAsia="仿宋" w:cs="仿宋"/>
          <w:kern w:val="0"/>
          <w:sz w:val="28"/>
          <w:szCs w:val="28"/>
        </w:rPr>
      </w:pPr>
      <w:r>
        <w:rPr>
          <w:rFonts w:hint="eastAsia" w:ascii="仿宋" w:hAnsi="仿宋" w:eastAsia="仿宋" w:cs="仿宋"/>
          <w:kern w:val="0"/>
          <w:sz w:val="28"/>
          <w:szCs w:val="28"/>
        </w:rPr>
        <w:t xml:space="preserve">（3）加强财务规范化管理，增强内部预算控制意识，全力推进预算科学化、精细化，突出绩效优先，严格按照相关制度和要求合理编制预算。 </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九、有关建议</w:t>
      </w:r>
    </w:p>
    <w:p>
      <w:pPr>
        <w:widowControl/>
        <w:spacing w:before="183" w:beforeLines="50" w:line="580" w:lineRule="exact"/>
        <w:ind w:firstLine="560" w:firstLineChars="200"/>
        <w:outlineLvl w:val="0"/>
        <w:rPr>
          <w:rFonts w:ascii="仿宋" w:hAnsi="仿宋" w:eastAsia="仿宋" w:cs="仿宋"/>
          <w:kern w:val="0"/>
          <w:sz w:val="28"/>
          <w:szCs w:val="28"/>
        </w:rPr>
      </w:pPr>
      <w:r>
        <w:rPr>
          <w:rFonts w:hint="eastAsia" w:ascii="仿宋" w:hAnsi="仿宋" w:eastAsia="仿宋" w:cs="仿宋"/>
          <w:kern w:val="0"/>
          <w:sz w:val="28"/>
          <w:szCs w:val="28"/>
        </w:rPr>
        <w:t>财政部门要有针对性地加强对各部门</w:t>
      </w:r>
      <w:r>
        <w:rPr>
          <w:rFonts w:hint="eastAsia" w:ascii="仿宋" w:hAnsi="仿宋" w:eastAsia="仿宋" w:cs="仿宋"/>
          <w:kern w:val="0"/>
          <w:sz w:val="28"/>
          <w:szCs w:val="28"/>
          <w:lang w:val="en-US" w:eastAsia="zh-CN"/>
        </w:rPr>
        <w:t>绩效目标的</w:t>
      </w:r>
      <w:r>
        <w:rPr>
          <w:rFonts w:hint="eastAsia" w:ascii="仿宋" w:hAnsi="仿宋" w:eastAsia="仿宋" w:cs="仿宋"/>
          <w:kern w:val="0"/>
          <w:sz w:val="28"/>
          <w:szCs w:val="28"/>
        </w:rPr>
        <w:t>指导或培训，优化完善各单位的绩效指标</w:t>
      </w:r>
      <w:r>
        <w:rPr>
          <w:rFonts w:hint="eastAsia" w:ascii="仿宋" w:hAnsi="仿宋" w:eastAsia="仿宋" w:cs="仿宋"/>
          <w:kern w:val="0"/>
          <w:sz w:val="28"/>
          <w:szCs w:val="28"/>
          <w:lang w:val="en-US" w:eastAsia="zh-CN"/>
        </w:rPr>
        <w:t>体系</w:t>
      </w:r>
      <w:r>
        <w:rPr>
          <w:rFonts w:hint="eastAsia" w:ascii="仿宋" w:hAnsi="仿宋" w:eastAsia="仿宋" w:cs="仿宋"/>
          <w:kern w:val="0"/>
          <w:sz w:val="28"/>
          <w:szCs w:val="28"/>
        </w:rPr>
        <w:t>，使绩效目标</w:t>
      </w:r>
      <w:r>
        <w:rPr>
          <w:rFonts w:hint="eastAsia" w:ascii="仿宋" w:hAnsi="仿宋" w:eastAsia="仿宋" w:cs="仿宋"/>
          <w:kern w:val="0"/>
          <w:sz w:val="28"/>
          <w:szCs w:val="28"/>
          <w:lang w:val="en-US" w:eastAsia="zh-CN"/>
        </w:rPr>
        <w:t>体系</w:t>
      </w:r>
      <w:r>
        <w:rPr>
          <w:rFonts w:hint="eastAsia" w:ascii="仿宋" w:hAnsi="仿宋" w:eastAsia="仿宋" w:cs="仿宋"/>
          <w:kern w:val="0"/>
          <w:sz w:val="28"/>
          <w:szCs w:val="28"/>
        </w:rPr>
        <w:t>不断完善，设定更加贴合实际，更具可操作性和科学性</w:t>
      </w:r>
      <w:r>
        <w:rPr>
          <w:rFonts w:hint="eastAsia" w:ascii="仿宋" w:hAnsi="仿宋" w:eastAsia="仿宋" w:cs="仿宋"/>
          <w:kern w:val="0"/>
          <w:sz w:val="28"/>
          <w:szCs w:val="28"/>
          <w:lang w:val="en-US" w:eastAsia="zh-CN"/>
        </w:rPr>
        <w:t>的绩效目标</w:t>
      </w:r>
      <w:r>
        <w:rPr>
          <w:rFonts w:hint="eastAsia" w:ascii="仿宋" w:hAnsi="仿宋" w:eastAsia="仿宋" w:cs="仿宋"/>
          <w:kern w:val="0"/>
          <w:sz w:val="28"/>
          <w:szCs w:val="28"/>
        </w:rPr>
        <w:t>，提升各部门绩效目标质量，实现各部门整体绩效的高效管理。</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十、绩效自评结果拟应用和公开情况</w:t>
      </w:r>
    </w:p>
    <w:p>
      <w:pPr>
        <w:widowControl/>
        <w:spacing w:before="183" w:beforeLines="50" w:line="580" w:lineRule="exact"/>
        <w:ind w:firstLine="560" w:firstLineChars="200"/>
        <w:outlineLvl w:val="0"/>
        <w:rPr>
          <w:rFonts w:ascii="仿宋" w:hAnsi="仿宋" w:eastAsia="仿宋" w:cs="仿宋"/>
          <w:sz w:val="28"/>
          <w:szCs w:val="28"/>
        </w:rPr>
      </w:pPr>
      <w:r>
        <w:rPr>
          <w:rFonts w:hint="eastAsia" w:ascii="仿宋" w:hAnsi="仿宋" w:eastAsia="仿宋" w:cs="仿宋"/>
          <w:sz w:val="28"/>
          <w:szCs w:val="28"/>
        </w:rPr>
        <w:t>2021年将进一步加大预算绩效管理力度，扎实开展预算绩效管理工作，将预算绩效自评结果作为改进预算管理和安排以后年度预算的重要依据。在今后编制预算时，不断完善绩效评价指标，及时调整和优化</w:t>
      </w:r>
      <w:r>
        <w:rPr>
          <w:rFonts w:hint="eastAsia" w:ascii="仿宋" w:hAnsi="仿宋" w:eastAsia="仿宋" w:cs="仿宋"/>
          <w:sz w:val="28"/>
          <w:szCs w:val="28"/>
          <w:lang w:val="en-US" w:eastAsia="zh-CN"/>
        </w:rPr>
        <w:t>本部门</w:t>
      </w:r>
      <w:r>
        <w:rPr>
          <w:rFonts w:hint="eastAsia" w:ascii="仿宋" w:hAnsi="仿宋" w:eastAsia="仿宋" w:cs="仿宋"/>
          <w:sz w:val="28"/>
          <w:szCs w:val="28"/>
        </w:rPr>
        <w:t>以后年度的预算支出方向和结构，合理配置资源，加强财务管理，强化资金使用的监督检查和跟踪问效，进一步完善内部预算管理制度、内部财务管理制度和内部控制制度，切实提高本</w:t>
      </w:r>
      <w:r>
        <w:rPr>
          <w:rFonts w:hint="eastAsia" w:ascii="仿宋" w:hAnsi="仿宋" w:eastAsia="仿宋" w:cs="仿宋"/>
          <w:sz w:val="28"/>
          <w:szCs w:val="28"/>
          <w:lang w:val="en-US" w:eastAsia="zh-CN"/>
        </w:rPr>
        <w:t>部门</w:t>
      </w:r>
      <w:r>
        <w:rPr>
          <w:rFonts w:hint="eastAsia" w:ascii="仿宋" w:hAnsi="仿宋" w:eastAsia="仿宋" w:cs="仿宋"/>
          <w:sz w:val="28"/>
          <w:szCs w:val="28"/>
        </w:rPr>
        <w:t xml:space="preserve">管理水平、财政资金使用效益和部门工作效率。 </w:t>
      </w:r>
    </w:p>
    <w:p>
      <w:pPr>
        <w:pStyle w:val="14"/>
        <w:keepNext w:val="0"/>
        <w:keepLines w:val="0"/>
        <w:pageBreakBefore w:val="0"/>
        <w:widowControl/>
        <w:kinsoku/>
        <w:wordWrap/>
        <w:overflowPunct/>
        <w:topLinePunct w:val="0"/>
        <w:autoSpaceDE/>
        <w:autoSpaceDN/>
        <w:bidi w:val="0"/>
        <w:adjustRightInd/>
        <w:snapToGrid/>
        <w:spacing w:before="185" w:beforeLines="50" w:after="185" w:afterLines="50" w:line="54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十一、其他需要说明的问题</w:t>
      </w:r>
    </w:p>
    <w:p>
      <w:pPr>
        <w:widowControl/>
        <w:spacing w:before="183" w:beforeLines="50" w:line="580" w:lineRule="exact"/>
        <w:ind w:firstLine="560" w:firstLineChars="200"/>
        <w:outlineLvl w:val="0"/>
        <w:rPr>
          <w:rFonts w:ascii="宋体" w:hAnsi="宋体" w:cs="宋体"/>
          <w:sz w:val="28"/>
          <w:szCs w:val="28"/>
        </w:rPr>
      </w:pPr>
      <w:r>
        <w:rPr>
          <w:rFonts w:hint="eastAsia" w:ascii="仿宋" w:hAnsi="仿宋" w:eastAsia="仿宋" w:cs="仿宋"/>
          <w:sz w:val="28"/>
          <w:szCs w:val="28"/>
        </w:rPr>
        <w:t>无</w:t>
      </w:r>
    </w:p>
    <w:p>
      <w:pPr>
        <w:widowControl/>
        <w:spacing w:before="183" w:beforeLines="50" w:line="580" w:lineRule="exact"/>
        <w:ind w:firstLine="232" w:firstLineChars="83"/>
        <w:outlineLvl w:val="0"/>
        <w:rPr>
          <w:rFonts w:hint="eastAsia" w:ascii="仿宋" w:hAnsi="仿宋" w:eastAsia="仿宋" w:cs="仿宋"/>
          <w:sz w:val="28"/>
          <w:szCs w:val="28"/>
        </w:rPr>
      </w:pPr>
    </w:p>
    <w:p>
      <w:pPr>
        <w:widowControl/>
        <w:spacing w:before="183" w:beforeLines="50" w:line="580" w:lineRule="exact"/>
        <w:ind w:firstLine="232" w:firstLineChars="83"/>
        <w:outlineLvl w:val="0"/>
        <w:rPr>
          <w:rFonts w:hint="eastAsia" w:ascii="仿宋" w:hAnsi="仿宋" w:eastAsia="仿宋" w:cs="仿宋"/>
          <w:sz w:val="28"/>
          <w:szCs w:val="28"/>
        </w:rPr>
      </w:pPr>
    </w:p>
    <w:p>
      <w:pPr>
        <w:widowControl/>
        <w:spacing w:before="183" w:beforeLines="50" w:line="580" w:lineRule="exact"/>
        <w:ind w:firstLine="232" w:firstLineChars="83"/>
        <w:outlineLvl w:val="0"/>
        <w:rPr>
          <w:rFonts w:hint="eastAsia" w:ascii="仿宋" w:hAnsi="仿宋" w:eastAsia="仿宋" w:cs="仿宋"/>
          <w:sz w:val="28"/>
          <w:szCs w:val="28"/>
        </w:rPr>
      </w:pPr>
    </w:p>
    <w:p>
      <w:pPr>
        <w:widowControl/>
        <w:spacing w:before="183" w:beforeLines="50" w:line="580" w:lineRule="exact"/>
        <w:ind w:firstLine="232" w:firstLineChars="83"/>
        <w:outlineLvl w:val="0"/>
        <w:rPr>
          <w:rFonts w:hint="eastAsia" w:ascii="仿宋" w:hAnsi="仿宋" w:eastAsia="仿宋" w:cs="仿宋"/>
          <w:sz w:val="28"/>
          <w:szCs w:val="28"/>
        </w:rPr>
      </w:pPr>
    </w:p>
    <w:p>
      <w:pPr>
        <w:widowControl/>
        <w:spacing w:before="183" w:beforeLines="50" w:line="580" w:lineRule="exact"/>
        <w:ind w:firstLine="232" w:firstLineChars="83"/>
        <w:outlineLvl w:val="0"/>
        <w:rPr>
          <w:rFonts w:hint="eastAsia" w:ascii="仿宋" w:hAnsi="仿宋" w:eastAsia="仿宋" w:cs="仿宋"/>
          <w:sz w:val="28"/>
          <w:szCs w:val="28"/>
        </w:rPr>
      </w:pPr>
    </w:p>
    <w:p>
      <w:pPr>
        <w:widowControl/>
        <w:spacing w:before="183" w:beforeLines="50" w:line="580" w:lineRule="exact"/>
        <w:ind w:firstLine="232" w:firstLineChars="83"/>
        <w:outlineLvl w:val="0"/>
        <w:rPr>
          <w:rFonts w:hint="eastAsia" w:ascii="仿宋" w:hAnsi="仿宋" w:eastAsia="仿宋" w:cs="仿宋"/>
          <w:sz w:val="28"/>
          <w:szCs w:val="28"/>
        </w:rPr>
      </w:pPr>
    </w:p>
    <w:p>
      <w:pPr>
        <w:widowControl/>
        <w:spacing w:before="183" w:beforeLines="50" w:line="580" w:lineRule="exact"/>
        <w:outlineLvl w:val="0"/>
        <w:rPr>
          <w:rFonts w:ascii="仿宋" w:hAnsi="仿宋" w:eastAsia="仿宋" w:cs="仿宋"/>
          <w:sz w:val="28"/>
          <w:szCs w:val="28"/>
        </w:rPr>
      </w:pPr>
      <w:r>
        <w:rPr>
          <w:rFonts w:hint="eastAsia" w:ascii="仿宋" w:hAnsi="仿宋" w:eastAsia="仿宋" w:cs="仿宋"/>
          <w:sz w:val="28"/>
          <w:szCs w:val="28"/>
        </w:rPr>
        <w:t>报告附以下附件：</w:t>
      </w:r>
    </w:p>
    <w:p>
      <w:pPr>
        <w:widowControl/>
        <w:spacing w:before="183" w:beforeLines="50" w:line="580" w:lineRule="exact"/>
        <w:ind w:firstLine="232" w:firstLineChars="83"/>
        <w:outlineLvl w:val="0"/>
        <w:rPr>
          <w:rFonts w:ascii="仿宋" w:hAnsi="仿宋" w:eastAsia="仿宋" w:cs="仿宋"/>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1</w:t>
      </w:r>
      <w:r>
        <w:rPr>
          <w:rFonts w:hint="eastAsia" w:ascii="仿宋" w:hAnsi="仿宋" w:eastAsia="仿宋" w:cs="仿宋"/>
          <w:sz w:val="28"/>
          <w:szCs w:val="28"/>
        </w:rPr>
        <w:t>、州级预算部门整体支出绩效评价基础数据表</w:t>
      </w:r>
    </w:p>
    <w:p>
      <w:pPr>
        <w:widowControl/>
        <w:spacing w:before="183" w:beforeLines="50" w:line="580" w:lineRule="exact"/>
        <w:ind w:firstLine="232" w:firstLineChars="83"/>
        <w:outlineLvl w:val="0"/>
        <w:rPr>
          <w:rFonts w:ascii="仿宋" w:hAnsi="仿宋" w:eastAsia="仿宋" w:cs="仿宋"/>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2</w:t>
      </w:r>
      <w:r>
        <w:rPr>
          <w:rFonts w:hint="eastAsia" w:ascii="仿宋" w:hAnsi="仿宋" w:eastAsia="仿宋" w:cs="仿宋"/>
          <w:sz w:val="28"/>
          <w:szCs w:val="28"/>
        </w:rPr>
        <w:t>、2020年度州级预算部门整体支出绩效自评表</w:t>
      </w:r>
    </w:p>
    <w:p>
      <w:pPr>
        <w:widowControl/>
        <w:spacing w:before="183" w:beforeLines="50" w:line="580" w:lineRule="exact"/>
        <w:ind w:firstLine="232" w:firstLineChars="83"/>
        <w:outlineLvl w:val="0"/>
        <w:rPr>
          <w:rFonts w:ascii="宋体" w:hAnsi="宋体" w:cs="宋体"/>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3</w:t>
      </w:r>
      <w:r>
        <w:rPr>
          <w:rFonts w:hint="eastAsia" w:ascii="仿宋" w:hAnsi="仿宋" w:eastAsia="仿宋" w:cs="仿宋"/>
          <w:sz w:val="28"/>
          <w:szCs w:val="28"/>
        </w:rPr>
        <w:t>、州级预算部门政府性基金预算支出绩效自评表</w:t>
      </w:r>
    </w:p>
    <w:p>
      <w:pPr>
        <w:widowControl/>
        <w:spacing w:before="183" w:beforeLines="50" w:line="580" w:lineRule="exact"/>
        <w:ind w:firstLine="280" w:firstLineChars="100"/>
        <w:outlineLvl w:val="0"/>
        <w:rPr>
          <w:rFonts w:ascii="仿宋" w:hAnsi="仿宋" w:eastAsia="仿宋" w:cs="仿宋"/>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4</w:t>
      </w:r>
      <w:r>
        <w:rPr>
          <w:rFonts w:hint="eastAsia" w:ascii="仿宋" w:hAnsi="仿宋" w:eastAsia="仿宋" w:cs="仿宋"/>
          <w:sz w:val="28"/>
          <w:szCs w:val="28"/>
        </w:rPr>
        <w:t>、关于开展2020年度州直预算部门整体支出绩效自评的通知</w:t>
      </w:r>
    </w:p>
    <w:p>
      <w:pPr>
        <w:widowControl/>
        <w:spacing w:before="183" w:beforeLines="50" w:line="500" w:lineRule="exact"/>
        <w:ind w:firstLine="560" w:firstLineChars="200"/>
        <w:outlineLvl w:val="0"/>
        <w:rPr>
          <w:rFonts w:hint="eastAsia" w:ascii="仿宋" w:hAnsi="仿宋" w:eastAsia="仿宋" w:cs="仿宋"/>
          <w:b/>
          <w:bCs/>
          <w:kern w:val="0"/>
          <w:sz w:val="28"/>
          <w:szCs w:val="28"/>
        </w:rPr>
      </w:pPr>
      <w:r>
        <w:rPr>
          <w:rFonts w:hint="eastAsia" w:ascii="宋体" w:hAnsi="宋体" w:cs="宋体"/>
          <w:kern w:val="0"/>
          <w:sz w:val="28"/>
          <w:szCs w:val="28"/>
        </w:rPr>
        <w:t xml:space="preserve">                   </w:t>
      </w:r>
      <w:r>
        <w:rPr>
          <w:rFonts w:hint="eastAsia" w:ascii="宋体" w:hAnsi="宋体" w:cs="宋体"/>
          <w:b/>
          <w:bCs/>
          <w:kern w:val="0"/>
          <w:sz w:val="28"/>
          <w:szCs w:val="28"/>
        </w:rPr>
        <w:t xml:space="preserve">     </w:t>
      </w:r>
      <w:r>
        <w:rPr>
          <w:rFonts w:hint="eastAsia" w:ascii="仿宋" w:hAnsi="仿宋" w:eastAsia="仿宋" w:cs="仿宋"/>
          <w:b/>
          <w:bCs/>
          <w:kern w:val="0"/>
          <w:sz w:val="28"/>
          <w:szCs w:val="28"/>
        </w:rPr>
        <w:t xml:space="preserve">   </w:t>
      </w:r>
    </w:p>
    <w:p>
      <w:pPr>
        <w:widowControl/>
        <w:spacing w:before="183" w:beforeLines="50" w:line="500" w:lineRule="exact"/>
        <w:ind w:firstLine="562" w:firstLineChars="200"/>
        <w:outlineLvl w:val="0"/>
        <w:rPr>
          <w:rFonts w:hint="eastAsia" w:ascii="仿宋" w:hAnsi="仿宋" w:eastAsia="仿宋" w:cs="仿宋"/>
          <w:b/>
          <w:bCs/>
          <w:kern w:val="0"/>
          <w:sz w:val="28"/>
          <w:szCs w:val="28"/>
        </w:rPr>
      </w:pPr>
    </w:p>
    <w:p>
      <w:pPr>
        <w:widowControl/>
        <w:spacing w:before="183" w:beforeLines="50" w:line="500" w:lineRule="exact"/>
        <w:ind w:firstLine="562" w:firstLineChars="200"/>
        <w:outlineLvl w:val="0"/>
        <w:rPr>
          <w:rFonts w:hint="eastAsia" w:ascii="仿宋" w:hAnsi="仿宋" w:eastAsia="仿宋" w:cs="仿宋"/>
          <w:b/>
          <w:bCs/>
          <w:kern w:val="0"/>
          <w:sz w:val="28"/>
          <w:szCs w:val="28"/>
        </w:rPr>
      </w:pPr>
    </w:p>
    <w:p>
      <w:pPr>
        <w:widowControl/>
        <w:spacing w:before="183" w:beforeLines="50" w:line="500" w:lineRule="exact"/>
        <w:ind w:firstLine="562" w:firstLineChars="200"/>
        <w:outlineLvl w:val="0"/>
        <w:rPr>
          <w:rFonts w:hint="eastAsia" w:ascii="仿宋" w:hAnsi="仿宋" w:eastAsia="仿宋" w:cs="仿宋"/>
          <w:b/>
          <w:bCs/>
          <w:kern w:val="0"/>
          <w:sz w:val="28"/>
          <w:szCs w:val="28"/>
        </w:rPr>
      </w:pPr>
    </w:p>
    <w:p>
      <w:pPr>
        <w:widowControl/>
        <w:spacing w:before="183" w:beforeLines="50" w:line="500" w:lineRule="exact"/>
        <w:ind w:firstLine="562" w:firstLineChars="200"/>
        <w:outlineLvl w:val="0"/>
        <w:rPr>
          <w:rFonts w:hint="eastAsia" w:ascii="仿宋" w:hAnsi="仿宋" w:eastAsia="仿宋" w:cs="仿宋"/>
          <w:b/>
          <w:bCs/>
          <w:kern w:val="0"/>
          <w:sz w:val="28"/>
          <w:szCs w:val="28"/>
        </w:rPr>
      </w:pPr>
    </w:p>
    <w:p>
      <w:pPr>
        <w:widowControl/>
        <w:spacing w:before="183" w:beforeLines="50" w:line="500" w:lineRule="exact"/>
        <w:ind w:firstLine="562" w:firstLineChars="200"/>
        <w:jc w:val="right"/>
        <w:outlineLvl w:val="0"/>
        <w:rPr>
          <w:rFonts w:ascii="仿宋" w:hAnsi="仿宋" w:eastAsia="仿宋" w:cs="仿宋"/>
          <w:b/>
          <w:bCs/>
          <w:sz w:val="28"/>
          <w:szCs w:val="28"/>
        </w:rPr>
      </w:pPr>
      <w:r>
        <w:rPr>
          <w:rFonts w:hint="eastAsia" w:ascii="仿宋" w:hAnsi="仿宋" w:eastAsia="仿宋" w:cs="仿宋"/>
          <w:b/>
          <w:bCs/>
          <w:sz w:val="28"/>
          <w:szCs w:val="28"/>
        </w:rPr>
        <w:t xml:space="preserve">湘西自治州发展和改革委员会 </w:t>
      </w:r>
    </w:p>
    <w:p>
      <w:pPr>
        <w:widowControl/>
        <w:spacing w:before="183" w:beforeLines="50" w:line="500" w:lineRule="exact"/>
        <w:ind w:firstLine="562" w:firstLineChars="200"/>
        <w:outlineLvl w:val="0"/>
        <w:rPr>
          <w:rFonts w:ascii="仿宋" w:hAnsi="仿宋" w:eastAsia="仿宋" w:cs="仿宋"/>
          <w:b/>
          <w:bCs/>
          <w:sz w:val="28"/>
          <w:szCs w:val="28"/>
        </w:rPr>
        <w:sectPr>
          <w:footerReference r:id="rId3" w:type="default"/>
          <w:pgSz w:w="11906" w:h="16838"/>
          <w:pgMar w:top="1440" w:right="1416" w:bottom="1702" w:left="1701" w:header="709" w:footer="709" w:gutter="0"/>
          <w:pgNumType w:start="1"/>
          <w:cols w:space="0" w:num="1"/>
          <w:docGrid w:type="lines" w:linePitch="367" w:charSpace="0"/>
        </w:sectPr>
      </w:pPr>
      <w:r>
        <w:rPr>
          <w:rFonts w:hint="eastAsia" w:ascii="仿宋" w:hAnsi="仿宋" w:eastAsia="仿宋" w:cs="仿宋"/>
          <w:b/>
          <w:bCs/>
          <w:sz w:val="28"/>
          <w:szCs w:val="28"/>
        </w:rPr>
        <w:t xml:space="preserve">                                </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二〇二一年六月</w:t>
      </w:r>
    </w:p>
    <w:p>
      <w:pPr>
        <w:jc w:val="left"/>
        <w:rPr>
          <w:rFonts w:hint="eastAsia" w:ascii="宋体" w:hAnsi="宋体" w:eastAsia="宋体" w:cs="宋体"/>
          <w:b/>
          <w:bCs/>
          <w:sz w:val="30"/>
          <w:szCs w:val="30"/>
          <w:lang w:eastAsia="zh-CN"/>
        </w:rPr>
      </w:pPr>
      <w:r>
        <w:rPr>
          <w:rFonts w:hint="eastAsia" w:ascii="宋体" w:hAnsi="宋体" w:cs="宋体"/>
          <w:b/>
          <w:bCs/>
          <w:sz w:val="30"/>
          <w:szCs w:val="30"/>
        </w:rPr>
        <w:t>附件</w:t>
      </w:r>
      <w:r>
        <w:rPr>
          <w:rFonts w:hint="eastAsia" w:ascii="宋体" w:hAnsi="宋体" w:cs="宋体"/>
          <w:b/>
          <w:bCs/>
          <w:sz w:val="30"/>
          <w:szCs w:val="30"/>
          <w:lang w:val="en-US" w:eastAsia="zh-CN"/>
        </w:rPr>
        <w:t>1</w:t>
      </w:r>
    </w:p>
    <w:p>
      <w:pPr>
        <w:spacing w:before="156" w:beforeLines="50" w:line="400" w:lineRule="exact"/>
        <w:jc w:val="center"/>
        <w:rPr>
          <w:rFonts w:hint="eastAsia" w:ascii="宋体" w:hAnsi="宋体" w:cs="宋体"/>
          <w:b/>
          <w:bCs/>
          <w:sz w:val="30"/>
          <w:szCs w:val="30"/>
        </w:rPr>
      </w:pPr>
      <w:r>
        <w:rPr>
          <w:rFonts w:hint="eastAsia" w:ascii="宋体" w:hAnsi="宋体" w:cs="宋体"/>
          <w:b/>
          <w:bCs/>
          <w:sz w:val="30"/>
          <w:szCs w:val="30"/>
        </w:rPr>
        <w:t>州级预算部门整体支出绩效评价基础数据表</w:t>
      </w:r>
    </w:p>
    <w:p>
      <w:pPr>
        <w:spacing w:before="156" w:beforeLines="50" w:line="400" w:lineRule="exact"/>
        <w:jc w:val="center"/>
        <w:rPr>
          <w:rFonts w:hint="eastAsia" w:ascii="宋体" w:hAnsi="宋体" w:eastAsia="宋体" w:cs="宋体"/>
          <w:b/>
          <w:bCs/>
          <w:sz w:val="30"/>
          <w:szCs w:val="30"/>
          <w:lang w:eastAsia="zh-CN"/>
        </w:rPr>
      </w:pPr>
      <w:r>
        <w:rPr>
          <w:rFonts w:hint="eastAsia" w:ascii="宋体" w:hAnsi="宋体" w:cs="宋体"/>
          <w:b/>
          <w:bCs/>
          <w:sz w:val="30"/>
          <w:szCs w:val="30"/>
          <w:lang w:eastAsia="zh-CN"/>
        </w:rPr>
        <w:t>（</w:t>
      </w:r>
      <w:r>
        <w:rPr>
          <w:rFonts w:hint="eastAsia" w:ascii="宋体" w:hAnsi="宋体" w:cs="宋体"/>
          <w:b/>
          <w:bCs/>
          <w:sz w:val="30"/>
          <w:szCs w:val="30"/>
          <w:lang w:val="en-US" w:eastAsia="zh-CN"/>
        </w:rPr>
        <w:t>2020年度</w:t>
      </w:r>
      <w:r>
        <w:rPr>
          <w:rFonts w:hint="eastAsia" w:ascii="宋体" w:hAnsi="宋体" w:cs="宋体"/>
          <w:b/>
          <w:bCs/>
          <w:sz w:val="30"/>
          <w:szCs w:val="30"/>
          <w:lang w:eastAsia="zh-CN"/>
        </w:rPr>
        <w:t>）</w:t>
      </w:r>
    </w:p>
    <w:tbl>
      <w:tblPr>
        <w:tblStyle w:val="8"/>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1098"/>
        <w:gridCol w:w="851"/>
        <w:gridCol w:w="907"/>
        <w:gridCol w:w="1461"/>
        <w:gridCol w:w="818"/>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803" w:type="dxa"/>
            <w:vMerge w:val="restart"/>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财政供养人员情况</w:t>
            </w:r>
          </w:p>
        </w:tc>
        <w:tc>
          <w:tcPr>
            <w:tcW w:w="1949" w:type="dxa"/>
            <w:gridSpan w:val="2"/>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2020年末编制数</w:t>
            </w:r>
          </w:p>
        </w:tc>
        <w:tc>
          <w:tcPr>
            <w:tcW w:w="2368" w:type="dxa"/>
            <w:gridSpan w:val="2"/>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2020年末实际在职人数</w:t>
            </w:r>
          </w:p>
        </w:tc>
        <w:tc>
          <w:tcPr>
            <w:tcW w:w="1899" w:type="dxa"/>
            <w:gridSpan w:val="2"/>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803" w:type="dxa"/>
            <w:vMerge w:val="continue"/>
            <w:vAlign w:val="center"/>
          </w:tcPr>
          <w:p>
            <w:pPr>
              <w:spacing w:line="300" w:lineRule="exact"/>
              <w:jc w:val="left"/>
              <w:rPr>
                <w:rFonts w:ascii="仿宋" w:hAnsi="仿宋" w:eastAsia="仿宋" w:cs="仿宋"/>
                <w:color w:val="auto"/>
                <w:sz w:val="18"/>
                <w:szCs w:val="18"/>
              </w:rPr>
            </w:pPr>
          </w:p>
        </w:tc>
        <w:tc>
          <w:tcPr>
            <w:tcW w:w="1949" w:type="dxa"/>
            <w:gridSpan w:val="2"/>
            <w:vAlign w:val="center"/>
          </w:tcPr>
          <w:p>
            <w:pPr>
              <w:spacing w:line="300" w:lineRule="exact"/>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106</w:t>
            </w:r>
          </w:p>
        </w:tc>
        <w:tc>
          <w:tcPr>
            <w:tcW w:w="2368" w:type="dxa"/>
            <w:gridSpan w:val="2"/>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93</w:t>
            </w:r>
          </w:p>
        </w:tc>
        <w:tc>
          <w:tcPr>
            <w:tcW w:w="1899" w:type="dxa"/>
            <w:gridSpan w:val="2"/>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lang w:val="en-US" w:eastAsia="zh-CN"/>
              </w:rPr>
              <w:t>87.73</w:t>
            </w: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803"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经费控制情况</w:t>
            </w:r>
          </w:p>
        </w:tc>
        <w:tc>
          <w:tcPr>
            <w:tcW w:w="1949" w:type="dxa"/>
            <w:gridSpan w:val="2"/>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2019年决算数</w:t>
            </w:r>
          </w:p>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（万元）</w:t>
            </w:r>
          </w:p>
        </w:tc>
        <w:tc>
          <w:tcPr>
            <w:tcW w:w="2368" w:type="dxa"/>
            <w:gridSpan w:val="2"/>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2020年预算数</w:t>
            </w:r>
          </w:p>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（万元）</w:t>
            </w:r>
          </w:p>
        </w:tc>
        <w:tc>
          <w:tcPr>
            <w:tcW w:w="1899" w:type="dxa"/>
            <w:gridSpan w:val="2"/>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2020年决算数</w:t>
            </w:r>
          </w:p>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一、三公经费</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31.36 </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130.10 </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65.59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 xml:space="preserve"> 1、公务用车购置和运行维护费</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25.09</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71.60</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55.14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其中：公务用车购置费</w:t>
            </w:r>
          </w:p>
        </w:tc>
        <w:tc>
          <w:tcPr>
            <w:tcW w:w="1949" w:type="dxa"/>
            <w:gridSpan w:val="2"/>
            <w:vAlign w:val="center"/>
          </w:tcPr>
          <w:p>
            <w:pPr>
              <w:widowControl/>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0</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30.00 </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29.98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 xml:space="preserve">      公务用车运行维护费</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25.19 </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41.60</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25.16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 xml:space="preserve"> 2、因公出国（境）费用</w:t>
            </w:r>
          </w:p>
        </w:tc>
        <w:tc>
          <w:tcPr>
            <w:tcW w:w="1949" w:type="dxa"/>
            <w:gridSpan w:val="2"/>
            <w:vAlign w:val="center"/>
          </w:tcPr>
          <w:p>
            <w:pPr>
              <w:widowControl/>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0</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 xml:space="preserve"> 3、公务接待费</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6.17 </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58.50 </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二、项目支出</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2306.64</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691.31 </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1701.23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其中：专项业务经费</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 xml:space="preserve">       公务接待费</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三、公用经费</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188.21</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238.33</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261.74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803" w:type="dxa"/>
            <w:vAlign w:val="center"/>
          </w:tcPr>
          <w:p>
            <w:pPr>
              <w:spacing w:line="300" w:lineRule="exact"/>
              <w:rPr>
                <w:rFonts w:ascii="仿宋" w:hAnsi="仿宋" w:eastAsia="仿宋" w:cs="仿宋"/>
                <w:color w:val="auto"/>
                <w:sz w:val="18"/>
                <w:szCs w:val="18"/>
              </w:rPr>
            </w:pPr>
            <w:r>
              <w:rPr>
                <w:rFonts w:hint="eastAsia" w:ascii="仿宋" w:hAnsi="仿宋" w:eastAsia="仿宋" w:cs="仿宋"/>
                <w:color w:val="auto"/>
                <w:sz w:val="18"/>
                <w:szCs w:val="18"/>
              </w:rPr>
              <w:t>其中：办公费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7.24</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14.39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rPr>
                <w:rFonts w:ascii="仿宋" w:hAnsi="仿宋" w:eastAsia="仿宋" w:cs="仿宋"/>
                <w:color w:val="auto"/>
                <w:sz w:val="18"/>
                <w:szCs w:val="18"/>
              </w:rPr>
            </w:pPr>
            <w:r>
              <w:rPr>
                <w:rFonts w:hint="eastAsia" w:ascii="仿宋" w:hAnsi="仿宋" w:eastAsia="仿宋" w:cs="仿宋"/>
                <w:color w:val="auto"/>
                <w:sz w:val="18"/>
                <w:szCs w:val="18"/>
              </w:rPr>
              <w:t>印刷费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3.85</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4.33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rPr>
                <w:rFonts w:ascii="仿宋" w:hAnsi="仿宋" w:eastAsia="仿宋" w:cs="仿宋"/>
                <w:color w:val="auto"/>
                <w:sz w:val="18"/>
                <w:szCs w:val="18"/>
              </w:rPr>
            </w:pPr>
            <w:r>
              <w:rPr>
                <w:rFonts w:hint="eastAsia" w:ascii="仿宋" w:hAnsi="仿宋" w:eastAsia="仿宋" w:cs="仿宋"/>
                <w:color w:val="auto"/>
                <w:sz w:val="18"/>
                <w:szCs w:val="18"/>
              </w:rPr>
              <w:t>咨询费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0.48</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2.32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rPr>
                <w:rFonts w:ascii="仿宋" w:hAnsi="仿宋" w:eastAsia="仿宋" w:cs="仿宋"/>
                <w:color w:val="auto"/>
                <w:sz w:val="18"/>
                <w:szCs w:val="18"/>
              </w:rPr>
            </w:pPr>
            <w:r>
              <w:rPr>
                <w:rFonts w:hint="eastAsia" w:ascii="仿宋" w:hAnsi="仿宋" w:eastAsia="仿宋" w:cs="仿宋"/>
                <w:color w:val="auto"/>
                <w:sz w:val="18"/>
                <w:szCs w:val="18"/>
              </w:rPr>
              <w:t>水费、电费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2.64</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rPr>
                <w:rFonts w:ascii="仿宋" w:hAnsi="仿宋" w:eastAsia="仿宋" w:cs="仿宋"/>
                <w:color w:val="auto"/>
                <w:sz w:val="18"/>
                <w:szCs w:val="18"/>
              </w:rPr>
            </w:pPr>
            <w:r>
              <w:rPr>
                <w:rFonts w:hint="eastAsia" w:ascii="仿宋" w:hAnsi="仿宋" w:eastAsia="仿宋" w:cs="仿宋"/>
                <w:color w:val="auto"/>
                <w:sz w:val="18"/>
                <w:szCs w:val="18"/>
              </w:rPr>
              <w:t>差旅费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15.91</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15.29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rPr>
                <w:rFonts w:ascii="仿宋" w:hAnsi="仿宋" w:eastAsia="仿宋" w:cs="仿宋"/>
                <w:color w:val="auto"/>
                <w:sz w:val="18"/>
                <w:szCs w:val="18"/>
              </w:rPr>
            </w:pPr>
            <w:r>
              <w:rPr>
                <w:rFonts w:hint="eastAsia" w:ascii="仿宋" w:hAnsi="仿宋" w:eastAsia="仿宋" w:cs="仿宋"/>
                <w:color w:val="auto"/>
                <w:sz w:val="18"/>
                <w:szCs w:val="18"/>
              </w:rPr>
              <w:t>维护费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0.68</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1.97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会议费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4.49</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1.15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培训费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0.71</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2.95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公务接待费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1.44</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劳务费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8.57</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工会经费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38.13</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38.18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福利费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61.58</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48.66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公务用车维护</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2.86</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其他交通费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6.72</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11.12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其他商品及服务</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lang w:val="en-US" w:eastAsia="zh-CN"/>
              </w:rPr>
              <w:t>22.17</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106.12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3" w:type="dxa"/>
            <w:vAlign w:val="center"/>
          </w:tcPr>
          <w:p>
            <w:pPr>
              <w:spacing w:line="300" w:lineRule="exact"/>
              <w:ind w:firstLine="547" w:firstLineChars="304"/>
              <w:jc w:val="left"/>
              <w:rPr>
                <w:rFonts w:ascii="仿宋" w:hAnsi="仿宋" w:eastAsia="仿宋" w:cs="仿宋"/>
                <w:color w:val="auto"/>
                <w:sz w:val="18"/>
                <w:szCs w:val="18"/>
              </w:rPr>
            </w:pPr>
            <w:r>
              <w:rPr>
                <w:rFonts w:hint="eastAsia" w:ascii="仿宋" w:hAnsi="仿宋" w:eastAsia="仿宋" w:cs="仿宋"/>
                <w:color w:val="auto"/>
                <w:sz w:val="18"/>
                <w:szCs w:val="18"/>
              </w:rPr>
              <w:t>租赁费</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10.66</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四、政府采购金额</w:t>
            </w:r>
          </w:p>
        </w:tc>
        <w:tc>
          <w:tcPr>
            <w:tcW w:w="1949"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447.50</w:t>
            </w:r>
          </w:p>
        </w:tc>
        <w:tc>
          <w:tcPr>
            <w:tcW w:w="2368" w:type="dxa"/>
            <w:gridSpan w:val="2"/>
            <w:vAlign w:val="center"/>
          </w:tcPr>
          <w:p>
            <w:pPr>
              <w:widowControl/>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608.45</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608.45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803" w:type="dxa"/>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 xml:space="preserve">五、部门基本支出预算调整 </w:t>
            </w:r>
          </w:p>
        </w:tc>
        <w:tc>
          <w:tcPr>
            <w:tcW w:w="194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1120.06  </w:t>
            </w:r>
          </w:p>
        </w:tc>
        <w:tc>
          <w:tcPr>
            <w:tcW w:w="2368"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1748.38</w:t>
            </w:r>
          </w:p>
        </w:tc>
        <w:tc>
          <w:tcPr>
            <w:tcW w:w="1899" w:type="dxa"/>
            <w:gridSpan w:val="2"/>
            <w:vAlign w:val="center"/>
          </w:tcPr>
          <w:p>
            <w:pPr>
              <w:widowControl/>
              <w:jc w:val="center"/>
              <w:rPr>
                <w:rFonts w:ascii="仿宋" w:hAnsi="仿宋" w:eastAsia="仿宋" w:cs="仿宋"/>
                <w:color w:val="auto"/>
                <w:sz w:val="18"/>
                <w:szCs w:val="18"/>
              </w:rPr>
            </w:pPr>
            <w:r>
              <w:rPr>
                <w:rFonts w:hint="eastAsia" w:ascii="仿宋" w:hAnsi="仿宋" w:eastAsia="仿宋" w:cs="仿宋"/>
                <w:color w:val="auto"/>
                <w:sz w:val="18"/>
                <w:szCs w:val="18"/>
              </w:rPr>
              <w:t xml:space="preserve">628.32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2803" w:type="dxa"/>
            <w:vMerge w:val="restart"/>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楼堂馆所控制情况</w:t>
            </w:r>
            <w:r>
              <w:rPr>
                <w:rFonts w:hint="eastAsia" w:ascii="仿宋" w:hAnsi="仿宋" w:eastAsia="仿宋" w:cs="仿宋"/>
                <w:color w:val="auto"/>
                <w:sz w:val="18"/>
                <w:szCs w:val="18"/>
              </w:rPr>
              <w:br w:type="textWrapping"/>
            </w:r>
            <w:r>
              <w:rPr>
                <w:rFonts w:hint="eastAsia" w:ascii="仿宋" w:hAnsi="仿宋" w:eastAsia="仿宋" w:cs="仿宋"/>
                <w:color w:val="auto"/>
                <w:sz w:val="18"/>
                <w:szCs w:val="18"/>
              </w:rPr>
              <w:t>（2020年完工项目）</w:t>
            </w:r>
          </w:p>
        </w:tc>
        <w:tc>
          <w:tcPr>
            <w:tcW w:w="1098"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批复规模</w:t>
            </w:r>
            <w:r>
              <w:rPr>
                <w:rFonts w:hint="eastAsia" w:ascii="仿宋" w:hAnsi="仿宋" w:eastAsia="仿宋" w:cs="仿宋"/>
                <w:color w:val="auto"/>
                <w:sz w:val="18"/>
                <w:szCs w:val="18"/>
              </w:rPr>
              <w:br w:type="textWrapping"/>
            </w:r>
            <w:r>
              <w:rPr>
                <w:rFonts w:hint="eastAsia" w:ascii="仿宋" w:hAnsi="仿宋" w:eastAsia="仿宋" w:cs="仿宋"/>
                <w:color w:val="auto"/>
                <w:sz w:val="18"/>
                <w:szCs w:val="18"/>
              </w:rPr>
              <w:t>（㎡）</w:t>
            </w:r>
          </w:p>
        </w:tc>
        <w:tc>
          <w:tcPr>
            <w:tcW w:w="851"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实际规模（㎡）</w:t>
            </w:r>
          </w:p>
        </w:tc>
        <w:tc>
          <w:tcPr>
            <w:tcW w:w="907"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规模控制率</w:t>
            </w:r>
          </w:p>
        </w:tc>
        <w:tc>
          <w:tcPr>
            <w:tcW w:w="1461"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预算投资（万元）</w:t>
            </w:r>
          </w:p>
        </w:tc>
        <w:tc>
          <w:tcPr>
            <w:tcW w:w="818"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实际投资（万元）</w:t>
            </w:r>
          </w:p>
        </w:tc>
        <w:tc>
          <w:tcPr>
            <w:tcW w:w="1081"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投资概算控制率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803" w:type="dxa"/>
            <w:vMerge w:val="continue"/>
            <w:vAlign w:val="center"/>
          </w:tcPr>
          <w:p>
            <w:pPr>
              <w:spacing w:line="300" w:lineRule="exact"/>
              <w:jc w:val="left"/>
              <w:rPr>
                <w:rFonts w:ascii="仿宋" w:hAnsi="仿宋" w:eastAsia="仿宋" w:cs="仿宋"/>
                <w:color w:val="auto"/>
                <w:sz w:val="18"/>
                <w:szCs w:val="18"/>
              </w:rPr>
            </w:pPr>
          </w:p>
        </w:tc>
        <w:tc>
          <w:tcPr>
            <w:tcW w:w="1098"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0</w:t>
            </w:r>
          </w:p>
        </w:tc>
        <w:tc>
          <w:tcPr>
            <w:tcW w:w="851"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0</w:t>
            </w:r>
          </w:p>
        </w:tc>
        <w:tc>
          <w:tcPr>
            <w:tcW w:w="907"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100%</w:t>
            </w:r>
          </w:p>
        </w:tc>
        <w:tc>
          <w:tcPr>
            <w:tcW w:w="1461"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0</w:t>
            </w:r>
          </w:p>
        </w:tc>
        <w:tc>
          <w:tcPr>
            <w:tcW w:w="818"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0</w:t>
            </w:r>
          </w:p>
        </w:tc>
        <w:tc>
          <w:tcPr>
            <w:tcW w:w="1081"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2803" w:type="dxa"/>
            <w:vAlign w:val="center"/>
          </w:tcPr>
          <w:p>
            <w:pPr>
              <w:spacing w:line="300" w:lineRule="exact"/>
              <w:jc w:val="center"/>
              <w:rPr>
                <w:rFonts w:ascii="仿宋" w:hAnsi="仿宋" w:eastAsia="仿宋" w:cs="仿宋"/>
                <w:color w:val="auto"/>
                <w:sz w:val="18"/>
                <w:szCs w:val="18"/>
              </w:rPr>
            </w:pPr>
            <w:r>
              <w:rPr>
                <w:rFonts w:hint="eastAsia" w:ascii="仿宋" w:hAnsi="仿宋" w:eastAsia="仿宋" w:cs="仿宋"/>
                <w:color w:val="auto"/>
                <w:sz w:val="18"/>
                <w:szCs w:val="18"/>
              </w:rPr>
              <w:t>厉行节约保障措施</w:t>
            </w:r>
          </w:p>
        </w:tc>
        <w:tc>
          <w:tcPr>
            <w:tcW w:w="6216" w:type="dxa"/>
            <w:gridSpan w:val="6"/>
            <w:vAlign w:val="center"/>
          </w:tcPr>
          <w:p>
            <w:pPr>
              <w:spacing w:line="300" w:lineRule="exact"/>
              <w:jc w:val="left"/>
              <w:rPr>
                <w:rFonts w:ascii="仿宋" w:hAnsi="仿宋" w:eastAsia="仿宋" w:cs="仿宋"/>
                <w:color w:val="auto"/>
                <w:sz w:val="18"/>
                <w:szCs w:val="18"/>
              </w:rPr>
            </w:pPr>
            <w:r>
              <w:rPr>
                <w:rFonts w:hint="eastAsia" w:ascii="仿宋" w:hAnsi="仿宋" w:eastAsia="仿宋" w:cs="仿宋"/>
                <w:color w:val="auto"/>
                <w:sz w:val="18"/>
                <w:szCs w:val="18"/>
              </w:rPr>
              <w:t>本单位在工作开展过程中，厉行节约，严格按照财务管理制度进行开支，严格执行中央“八项规定”。</w:t>
            </w:r>
          </w:p>
        </w:tc>
      </w:tr>
    </w:tbl>
    <w:p>
      <w:pPr>
        <w:spacing w:line="360" w:lineRule="exact"/>
        <w:ind w:left="0" w:leftChars="0" w:firstLine="419" w:firstLineChars="233"/>
        <w:rPr>
          <w:rFonts w:ascii="仿宋" w:hAnsi="仿宋" w:eastAsia="仿宋" w:cs="仿宋"/>
          <w:sz w:val="18"/>
          <w:szCs w:val="18"/>
        </w:rPr>
      </w:pPr>
      <w:r>
        <w:rPr>
          <w:rFonts w:hint="eastAsia" w:ascii="仿宋" w:hAnsi="仿宋" w:eastAsia="仿宋" w:cs="仿宋"/>
          <w:sz w:val="18"/>
          <w:szCs w:val="18"/>
        </w:rPr>
        <w:t>说明：项目支出需要填报除基本支出以外的所有项目支出情况，公用经费填报基本支出中的一般商品和服务支出。</w:t>
      </w:r>
    </w:p>
    <w:p>
      <w:pPr>
        <w:spacing w:line="360" w:lineRule="exact"/>
        <w:ind w:left="0" w:leftChars="0" w:firstLine="419" w:firstLineChars="233"/>
        <w:rPr>
          <w:rFonts w:ascii="仿宋" w:hAnsi="仿宋" w:eastAsia="仿宋" w:cs="仿宋"/>
          <w:sz w:val="18"/>
          <w:szCs w:val="18"/>
        </w:rPr>
      </w:pPr>
      <w:r>
        <w:rPr>
          <w:rFonts w:hint="eastAsia" w:ascii="仿宋" w:hAnsi="仿宋" w:eastAsia="仿宋" w:cs="仿宋"/>
          <w:sz w:val="18"/>
          <w:szCs w:val="18"/>
        </w:rPr>
        <w:t>单位负责人签字：            填表人：</w:t>
      </w:r>
      <w:r>
        <w:rPr>
          <w:rFonts w:hint="eastAsia" w:ascii="仿宋" w:hAnsi="仿宋" w:eastAsia="仿宋" w:cs="仿宋"/>
          <w:sz w:val="18"/>
          <w:szCs w:val="18"/>
          <w:lang w:val="en-US" w:eastAsia="zh-CN"/>
        </w:rPr>
        <w:t>刘龙</w:t>
      </w:r>
      <w:r>
        <w:rPr>
          <w:rFonts w:hint="eastAsia" w:ascii="仿宋" w:hAnsi="仿宋" w:eastAsia="仿宋" w:cs="仿宋"/>
          <w:sz w:val="18"/>
          <w:szCs w:val="18"/>
        </w:rPr>
        <w:t xml:space="preserve">      联系电话：</w:t>
      </w:r>
      <w:r>
        <w:rPr>
          <w:rFonts w:hint="eastAsia" w:ascii="仿宋" w:hAnsi="仿宋" w:eastAsia="仿宋" w:cs="仿宋"/>
          <w:sz w:val="18"/>
          <w:szCs w:val="18"/>
          <w:lang w:val="en-US" w:eastAsia="zh-CN"/>
        </w:rPr>
        <w:t>18074345378</w:t>
      </w:r>
      <w:r>
        <w:rPr>
          <w:rFonts w:hint="eastAsia" w:ascii="仿宋" w:hAnsi="仿宋" w:eastAsia="仿宋" w:cs="仿宋"/>
          <w:sz w:val="18"/>
          <w:szCs w:val="18"/>
        </w:rPr>
        <w:t xml:space="preserve">     填报日期：2021年6月18日</w:t>
      </w:r>
    </w:p>
    <w:p>
      <w:pPr>
        <w:spacing w:before="156" w:beforeLines="50"/>
        <w:jc w:val="left"/>
        <w:rPr>
          <w:rFonts w:ascii="宋体" w:hAnsi="宋体" w:cs="宋体"/>
          <w:sz w:val="24"/>
        </w:rPr>
      </w:pPr>
      <w:r>
        <w:rPr>
          <w:rFonts w:hint="eastAsia" w:ascii="宋体" w:hAnsi="宋体" w:cs="宋体"/>
          <w:sz w:val="24"/>
        </w:rPr>
        <w:t xml:space="preserve"> </w:t>
      </w:r>
    </w:p>
    <w:p>
      <w:pPr>
        <w:spacing w:before="156" w:beforeLines="50"/>
        <w:jc w:val="left"/>
        <w:rPr>
          <w:rFonts w:ascii="宋体" w:hAnsi="宋体" w:cs="宋体"/>
          <w:b/>
          <w:bCs/>
          <w:sz w:val="24"/>
        </w:rPr>
      </w:pPr>
    </w:p>
    <w:p>
      <w:pPr>
        <w:spacing w:before="156" w:beforeLines="50"/>
        <w:jc w:val="left"/>
        <w:rPr>
          <w:rFonts w:ascii="宋体" w:hAnsi="宋体" w:cs="宋体"/>
          <w:b/>
          <w:bCs/>
          <w:sz w:val="24"/>
        </w:rPr>
      </w:pPr>
    </w:p>
    <w:p>
      <w:pPr>
        <w:spacing w:before="156" w:beforeLines="50"/>
        <w:jc w:val="left"/>
        <w:rPr>
          <w:rFonts w:ascii="宋体" w:hAnsi="宋体" w:cs="宋体"/>
          <w:b/>
          <w:bCs/>
          <w:sz w:val="24"/>
        </w:rPr>
      </w:pPr>
    </w:p>
    <w:p>
      <w:pPr>
        <w:spacing w:before="156" w:beforeLines="50"/>
        <w:jc w:val="left"/>
        <w:rPr>
          <w:rFonts w:ascii="宋体" w:hAnsi="宋体" w:cs="宋体"/>
          <w:b/>
          <w:bCs/>
          <w:sz w:val="24"/>
        </w:rPr>
      </w:pPr>
    </w:p>
    <w:p>
      <w:pPr>
        <w:spacing w:before="156" w:beforeLines="50"/>
        <w:jc w:val="left"/>
        <w:rPr>
          <w:rFonts w:ascii="宋体" w:hAnsi="宋体" w:cs="宋体"/>
          <w:b/>
          <w:bCs/>
          <w:sz w:val="24"/>
        </w:rPr>
      </w:pPr>
    </w:p>
    <w:p>
      <w:pPr>
        <w:spacing w:before="156" w:beforeLines="50"/>
        <w:jc w:val="left"/>
        <w:rPr>
          <w:rFonts w:ascii="宋体" w:hAnsi="宋体" w:cs="宋体"/>
          <w:b/>
          <w:bCs/>
          <w:sz w:val="24"/>
        </w:rPr>
      </w:pPr>
    </w:p>
    <w:p>
      <w:pPr>
        <w:spacing w:before="156" w:beforeLines="50"/>
        <w:jc w:val="left"/>
        <w:rPr>
          <w:rFonts w:ascii="宋体" w:hAnsi="宋体" w:cs="宋体"/>
          <w:b/>
          <w:bCs/>
          <w:sz w:val="24"/>
        </w:rPr>
      </w:pPr>
    </w:p>
    <w:p>
      <w:pPr>
        <w:spacing w:before="156" w:beforeLines="50"/>
        <w:jc w:val="left"/>
        <w:rPr>
          <w:rFonts w:ascii="宋体" w:hAnsi="宋体" w:cs="宋体"/>
          <w:b/>
          <w:bCs/>
          <w:sz w:val="24"/>
        </w:rPr>
      </w:pPr>
    </w:p>
    <w:p>
      <w:pPr>
        <w:spacing w:before="156" w:beforeLines="50"/>
        <w:jc w:val="left"/>
        <w:rPr>
          <w:rFonts w:ascii="宋体" w:hAnsi="宋体" w:cs="宋体"/>
          <w:b/>
          <w:bCs/>
          <w:sz w:val="24"/>
        </w:rPr>
      </w:pPr>
    </w:p>
    <w:p>
      <w:pPr>
        <w:spacing w:before="156" w:beforeLines="50"/>
        <w:jc w:val="left"/>
        <w:rPr>
          <w:rFonts w:ascii="宋体" w:hAnsi="宋体" w:cs="宋体"/>
          <w:b/>
          <w:bCs/>
          <w:sz w:val="24"/>
        </w:rPr>
      </w:pPr>
    </w:p>
    <w:p>
      <w:pPr>
        <w:spacing w:before="156" w:beforeLines="50"/>
        <w:jc w:val="left"/>
        <w:rPr>
          <w:rFonts w:hint="eastAsia" w:ascii="宋体" w:hAnsi="宋体" w:eastAsia="宋体" w:cs="宋体"/>
          <w:b/>
          <w:bCs/>
          <w:sz w:val="24"/>
          <w:lang w:eastAsia="zh-CN"/>
        </w:rPr>
      </w:pPr>
      <w:r>
        <w:rPr>
          <w:rFonts w:hint="eastAsia" w:ascii="宋体" w:hAnsi="宋体" w:cs="宋体"/>
          <w:b/>
          <w:bCs/>
          <w:sz w:val="24"/>
        </w:rPr>
        <w:t>附件</w:t>
      </w:r>
      <w:r>
        <w:rPr>
          <w:rFonts w:hint="eastAsia" w:ascii="宋体" w:hAnsi="宋体" w:cs="宋体"/>
          <w:b/>
          <w:bCs/>
          <w:sz w:val="24"/>
          <w:lang w:val="en-US" w:eastAsia="zh-CN"/>
        </w:rPr>
        <w:t>2</w:t>
      </w:r>
    </w:p>
    <w:p>
      <w:pPr>
        <w:spacing w:before="156" w:beforeLines="50" w:line="400" w:lineRule="exact"/>
        <w:jc w:val="center"/>
        <w:rPr>
          <w:rFonts w:ascii="宋体" w:hAnsi="宋体" w:cs="宋体"/>
          <w:b/>
          <w:bCs/>
          <w:sz w:val="30"/>
          <w:szCs w:val="30"/>
        </w:rPr>
      </w:pPr>
      <w:r>
        <w:rPr>
          <w:rFonts w:hint="eastAsia" w:ascii="宋体" w:hAnsi="宋体" w:cs="宋体"/>
          <w:b/>
          <w:bCs/>
          <w:sz w:val="30"/>
          <w:szCs w:val="30"/>
        </w:rPr>
        <w:t>州级预算部门整体支出绩效自评表</w:t>
      </w:r>
    </w:p>
    <w:p>
      <w:pPr>
        <w:spacing w:line="400" w:lineRule="exact"/>
        <w:jc w:val="center"/>
        <w:rPr>
          <w:rFonts w:ascii="宋体" w:hAnsi="宋体" w:cs="宋体"/>
          <w:b/>
          <w:bCs/>
          <w:sz w:val="30"/>
          <w:szCs w:val="30"/>
        </w:rPr>
      </w:pPr>
      <w:r>
        <w:rPr>
          <w:rFonts w:hint="eastAsia" w:ascii="宋体" w:hAnsi="宋体" w:cs="宋体"/>
          <w:b/>
          <w:bCs/>
          <w:sz w:val="30"/>
          <w:szCs w:val="30"/>
        </w:rPr>
        <w:t>（2020年度）</w:t>
      </w:r>
    </w:p>
    <w:tbl>
      <w:tblPr>
        <w:tblStyle w:val="8"/>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125"/>
        <w:gridCol w:w="1074"/>
        <w:gridCol w:w="1295"/>
        <w:gridCol w:w="584"/>
        <w:gridCol w:w="587"/>
        <w:gridCol w:w="448"/>
        <w:gridCol w:w="1200"/>
        <w:gridCol w:w="606"/>
        <w:gridCol w:w="857"/>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5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州级预算部门名  称</w:t>
            </w:r>
          </w:p>
        </w:tc>
        <w:tc>
          <w:tcPr>
            <w:tcW w:w="8929" w:type="dxa"/>
            <w:gridSpan w:val="10"/>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b/>
                <w:bCs/>
                <w:color w:val="auto"/>
                <w:kern w:val="0"/>
                <w:sz w:val="18"/>
                <w:szCs w:val="18"/>
              </w:rPr>
              <w:t xml:space="preserve"> </w:t>
            </w:r>
            <w:r>
              <w:rPr>
                <w:rFonts w:hint="eastAsia" w:ascii="仿宋" w:hAnsi="仿宋" w:eastAsia="仿宋" w:cs="仿宋"/>
                <w:color w:val="auto"/>
                <w:sz w:val="18"/>
                <w:szCs w:val="18"/>
              </w:rPr>
              <w:t xml:space="preserve">湘西自治州发展和改革委员会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956" w:type="dxa"/>
            <w:vMerge w:val="restart"/>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年度预</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算申请（万元）</w:t>
            </w:r>
          </w:p>
        </w:tc>
        <w:tc>
          <w:tcPr>
            <w:tcW w:w="2199" w:type="dxa"/>
            <w:gridSpan w:val="2"/>
            <w:vAlign w:val="center"/>
          </w:tcPr>
          <w:p>
            <w:pPr>
              <w:spacing w:line="260" w:lineRule="exact"/>
              <w:jc w:val="center"/>
              <w:rPr>
                <w:rFonts w:hint="eastAsia" w:ascii="仿宋" w:hAnsi="仿宋" w:eastAsia="仿宋" w:cs="仿宋"/>
                <w:color w:val="auto"/>
                <w:sz w:val="18"/>
                <w:szCs w:val="18"/>
              </w:rPr>
            </w:pPr>
          </w:p>
        </w:tc>
        <w:tc>
          <w:tcPr>
            <w:tcW w:w="1879"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年初</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预算数</w:t>
            </w:r>
          </w:p>
        </w:tc>
        <w:tc>
          <w:tcPr>
            <w:tcW w:w="1035"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全年</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预算数</w:t>
            </w:r>
          </w:p>
        </w:tc>
        <w:tc>
          <w:tcPr>
            <w:tcW w:w="1200"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全年</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执行数</w:t>
            </w: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分值</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执行率</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2199" w:type="dxa"/>
            <w:gridSpan w:val="2"/>
            <w:vAlign w:val="center"/>
          </w:tcPr>
          <w:p>
            <w:pPr>
              <w:spacing w:line="260" w:lineRule="exact"/>
              <w:rPr>
                <w:rFonts w:hint="eastAsia" w:ascii="仿宋" w:hAnsi="仿宋" w:eastAsia="仿宋" w:cs="仿宋"/>
                <w:color w:val="auto"/>
                <w:sz w:val="18"/>
                <w:szCs w:val="18"/>
              </w:rPr>
            </w:pPr>
            <w:r>
              <w:rPr>
                <w:rFonts w:hint="eastAsia" w:ascii="仿宋" w:hAnsi="仿宋" w:eastAsia="仿宋" w:cs="仿宋"/>
                <w:color w:val="auto"/>
                <w:sz w:val="18"/>
                <w:szCs w:val="18"/>
              </w:rPr>
              <w:t>年度资金总额</w:t>
            </w:r>
          </w:p>
        </w:tc>
        <w:tc>
          <w:tcPr>
            <w:tcW w:w="1879"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1811.37</w:t>
            </w:r>
          </w:p>
        </w:tc>
        <w:tc>
          <w:tcPr>
            <w:tcW w:w="1035"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4324.57</w:t>
            </w:r>
          </w:p>
        </w:tc>
        <w:tc>
          <w:tcPr>
            <w:tcW w:w="1200" w:type="dxa"/>
            <w:vAlign w:val="center"/>
          </w:tcPr>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4324.57</w:t>
            </w: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10</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100%</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2199" w:type="dxa"/>
            <w:gridSpan w:val="2"/>
            <w:vAlign w:val="center"/>
          </w:tcPr>
          <w:p>
            <w:pPr>
              <w:spacing w:line="260" w:lineRule="exact"/>
              <w:jc w:val="left"/>
              <w:rPr>
                <w:rFonts w:hint="eastAsia" w:ascii="仿宋" w:hAnsi="仿宋" w:eastAsia="仿宋" w:cs="仿宋"/>
                <w:color w:val="auto"/>
                <w:sz w:val="18"/>
                <w:szCs w:val="18"/>
              </w:rPr>
            </w:pPr>
            <w:r>
              <w:rPr>
                <w:rFonts w:hint="eastAsia" w:ascii="仿宋" w:hAnsi="仿宋" w:eastAsia="仿宋" w:cs="仿宋"/>
                <w:color w:val="auto"/>
                <w:sz w:val="18"/>
                <w:szCs w:val="18"/>
              </w:rPr>
              <w:t>按收入性质分：</w:t>
            </w:r>
          </w:p>
        </w:tc>
        <w:tc>
          <w:tcPr>
            <w:tcW w:w="1879" w:type="dxa"/>
            <w:gridSpan w:val="2"/>
            <w:vAlign w:val="center"/>
          </w:tcPr>
          <w:p>
            <w:pPr>
              <w:spacing w:line="260" w:lineRule="exact"/>
              <w:jc w:val="center"/>
              <w:rPr>
                <w:rFonts w:hint="eastAsia" w:ascii="仿宋" w:hAnsi="仿宋" w:eastAsia="仿宋" w:cs="仿宋"/>
                <w:color w:val="auto"/>
                <w:sz w:val="18"/>
                <w:szCs w:val="18"/>
              </w:rPr>
            </w:pPr>
          </w:p>
        </w:tc>
        <w:tc>
          <w:tcPr>
            <w:tcW w:w="1035" w:type="dxa"/>
            <w:gridSpan w:val="2"/>
            <w:vAlign w:val="center"/>
          </w:tcPr>
          <w:p>
            <w:pPr>
              <w:spacing w:line="260" w:lineRule="exact"/>
              <w:jc w:val="center"/>
              <w:rPr>
                <w:rFonts w:hint="eastAsia" w:ascii="仿宋" w:hAnsi="仿宋" w:eastAsia="仿宋" w:cs="仿宋"/>
                <w:color w:val="auto"/>
                <w:sz w:val="18"/>
                <w:szCs w:val="18"/>
              </w:rPr>
            </w:pPr>
          </w:p>
        </w:tc>
        <w:tc>
          <w:tcPr>
            <w:tcW w:w="1200" w:type="dxa"/>
            <w:vAlign w:val="center"/>
          </w:tcPr>
          <w:p>
            <w:pPr>
              <w:spacing w:line="260" w:lineRule="exact"/>
              <w:jc w:val="center"/>
              <w:rPr>
                <w:rFonts w:hint="eastAsia" w:ascii="仿宋" w:hAnsi="仿宋" w:eastAsia="仿宋" w:cs="仿宋"/>
                <w:color w:val="auto"/>
                <w:sz w:val="18"/>
                <w:szCs w:val="18"/>
              </w:rPr>
            </w:pP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2199" w:type="dxa"/>
            <w:gridSpan w:val="2"/>
            <w:vAlign w:val="center"/>
          </w:tcPr>
          <w:p>
            <w:pPr>
              <w:spacing w:line="260" w:lineRule="exact"/>
              <w:jc w:val="left"/>
              <w:rPr>
                <w:rFonts w:hint="eastAsia" w:ascii="仿宋" w:hAnsi="仿宋" w:eastAsia="仿宋" w:cs="仿宋"/>
                <w:color w:val="auto"/>
                <w:sz w:val="18"/>
                <w:szCs w:val="18"/>
              </w:rPr>
            </w:pPr>
            <w:r>
              <w:rPr>
                <w:rFonts w:hint="eastAsia" w:ascii="仿宋" w:hAnsi="仿宋" w:eastAsia="仿宋" w:cs="仿宋"/>
                <w:color w:val="auto"/>
                <w:sz w:val="18"/>
                <w:szCs w:val="18"/>
              </w:rPr>
              <w:t xml:space="preserve">  一般公共预算</w:t>
            </w:r>
          </w:p>
        </w:tc>
        <w:tc>
          <w:tcPr>
            <w:tcW w:w="1879"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1811.37</w:t>
            </w:r>
          </w:p>
        </w:tc>
        <w:tc>
          <w:tcPr>
            <w:tcW w:w="1035"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3578.69</w:t>
            </w:r>
          </w:p>
        </w:tc>
        <w:tc>
          <w:tcPr>
            <w:tcW w:w="1200" w:type="dxa"/>
            <w:vAlign w:val="center"/>
          </w:tcPr>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3578.69</w:t>
            </w: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2199" w:type="dxa"/>
            <w:gridSpan w:val="2"/>
            <w:vAlign w:val="center"/>
          </w:tcPr>
          <w:p>
            <w:pPr>
              <w:spacing w:line="260" w:lineRule="exact"/>
              <w:ind w:firstLine="180" w:firstLineChars="100"/>
              <w:jc w:val="left"/>
              <w:rPr>
                <w:rFonts w:hint="eastAsia" w:ascii="仿宋" w:hAnsi="仿宋" w:eastAsia="仿宋" w:cs="仿宋"/>
                <w:color w:val="auto"/>
                <w:sz w:val="18"/>
                <w:szCs w:val="18"/>
              </w:rPr>
            </w:pPr>
            <w:r>
              <w:rPr>
                <w:rFonts w:hint="eastAsia" w:ascii="仿宋" w:hAnsi="仿宋" w:eastAsia="仿宋" w:cs="仿宋"/>
                <w:color w:val="auto"/>
                <w:sz w:val="18"/>
                <w:szCs w:val="18"/>
              </w:rPr>
              <w:t>政府性基金拨款</w:t>
            </w:r>
          </w:p>
        </w:tc>
        <w:tc>
          <w:tcPr>
            <w:tcW w:w="1879" w:type="dxa"/>
            <w:gridSpan w:val="2"/>
            <w:vAlign w:val="center"/>
          </w:tcPr>
          <w:p>
            <w:pPr>
              <w:spacing w:line="260" w:lineRule="exact"/>
              <w:jc w:val="center"/>
              <w:rPr>
                <w:rFonts w:hint="eastAsia" w:ascii="仿宋" w:hAnsi="仿宋" w:eastAsia="仿宋" w:cs="仿宋"/>
                <w:color w:val="auto"/>
                <w:sz w:val="18"/>
                <w:szCs w:val="18"/>
              </w:rPr>
            </w:pPr>
          </w:p>
        </w:tc>
        <w:tc>
          <w:tcPr>
            <w:tcW w:w="1035"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193.60</w:t>
            </w:r>
          </w:p>
        </w:tc>
        <w:tc>
          <w:tcPr>
            <w:tcW w:w="1200" w:type="dxa"/>
            <w:vAlign w:val="center"/>
          </w:tcPr>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193.60</w:t>
            </w: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2199" w:type="dxa"/>
            <w:gridSpan w:val="2"/>
            <w:vAlign w:val="center"/>
          </w:tcPr>
          <w:p>
            <w:pPr>
              <w:spacing w:line="260" w:lineRule="exact"/>
              <w:ind w:firstLine="180" w:firstLineChars="100"/>
              <w:jc w:val="left"/>
              <w:rPr>
                <w:rFonts w:hint="eastAsia" w:ascii="仿宋" w:hAnsi="仿宋" w:eastAsia="仿宋" w:cs="仿宋"/>
                <w:color w:val="auto"/>
                <w:sz w:val="18"/>
                <w:szCs w:val="18"/>
              </w:rPr>
            </w:pPr>
            <w:r>
              <w:rPr>
                <w:rFonts w:hint="eastAsia" w:ascii="仿宋" w:hAnsi="仿宋" w:eastAsia="仿宋" w:cs="仿宋"/>
                <w:color w:val="auto"/>
                <w:sz w:val="18"/>
                <w:szCs w:val="18"/>
              </w:rPr>
              <w:t>纳入专户管理的非税收入拨款</w:t>
            </w:r>
          </w:p>
        </w:tc>
        <w:tc>
          <w:tcPr>
            <w:tcW w:w="1879" w:type="dxa"/>
            <w:gridSpan w:val="2"/>
            <w:vAlign w:val="center"/>
          </w:tcPr>
          <w:p>
            <w:pPr>
              <w:spacing w:line="260" w:lineRule="exact"/>
              <w:jc w:val="center"/>
              <w:rPr>
                <w:rFonts w:hint="eastAsia" w:ascii="仿宋" w:hAnsi="仿宋" w:eastAsia="仿宋" w:cs="仿宋"/>
                <w:color w:val="auto"/>
                <w:sz w:val="18"/>
                <w:szCs w:val="18"/>
              </w:rPr>
            </w:pPr>
          </w:p>
        </w:tc>
        <w:tc>
          <w:tcPr>
            <w:tcW w:w="1035" w:type="dxa"/>
            <w:gridSpan w:val="2"/>
            <w:vAlign w:val="center"/>
          </w:tcPr>
          <w:p>
            <w:pPr>
              <w:spacing w:line="260" w:lineRule="exact"/>
              <w:jc w:val="center"/>
              <w:rPr>
                <w:rFonts w:hint="eastAsia" w:ascii="仿宋" w:hAnsi="仿宋" w:eastAsia="仿宋" w:cs="仿宋"/>
                <w:color w:val="auto"/>
                <w:sz w:val="18"/>
                <w:szCs w:val="18"/>
              </w:rPr>
            </w:pPr>
          </w:p>
        </w:tc>
        <w:tc>
          <w:tcPr>
            <w:tcW w:w="1200" w:type="dxa"/>
            <w:vAlign w:val="center"/>
          </w:tcPr>
          <w:p>
            <w:pPr>
              <w:spacing w:line="260" w:lineRule="exact"/>
              <w:jc w:val="center"/>
              <w:rPr>
                <w:rFonts w:hint="eastAsia" w:ascii="仿宋" w:hAnsi="仿宋" w:eastAsia="仿宋" w:cs="仿宋"/>
                <w:color w:val="auto"/>
                <w:sz w:val="18"/>
                <w:szCs w:val="18"/>
              </w:rPr>
            </w:pP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2199" w:type="dxa"/>
            <w:gridSpan w:val="2"/>
            <w:vAlign w:val="center"/>
          </w:tcPr>
          <w:p>
            <w:pPr>
              <w:spacing w:line="260" w:lineRule="exact"/>
              <w:ind w:firstLine="180" w:firstLineChars="100"/>
              <w:jc w:val="left"/>
              <w:rPr>
                <w:rFonts w:hint="eastAsia" w:ascii="仿宋" w:hAnsi="仿宋" w:eastAsia="仿宋" w:cs="仿宋"/>
                <w:color w:val="auto"/>
                <w:sz w:val="18"/>
                <w:szCs w:val="18"/>
              </w:rPr>
            </w:pPr>
            <w:r>
              <w:rPr>
                <w:rFonts w:hint="eastAsia" w:ascii="仿宋" w:hAnsi="仿宋" w:eastAsia="仿宋" w:cs="仿宋"/>
                <w:color w:val="auto"/>
                <w:sz w:val="18"/>
                <w:szCs w:val="18"/>
              </w:rPr>
              <w:t>其他资金</w:t>
            </w:r>
          </w:p>
        </w:tc>
        <w:tc>
          <w:tcPr>
            <w:tcW w:w="1879" w:type="dxa"/>
            <w:gridSpan w:val="2"/>
            <w:vAlign w:val="center"/>
          </w:tcPr>
          <w:p>
            <w:pPr>
              <w:spacing w:line="260" w:lineRule="exact"/>
              <w:jc w:val="center"/>
              <w:rPr>
                <w:rFonts w:hint="eastAsia" w:ascii="仿宋" w:hAnsi="仿宋" w:eastAsia="仿宋" w:cs="仿宋"/>
                <w:color w:val="auto"/>
                <w:sz w:val="18"/>
                <w:szCs w:val="18"/>
              </w:rPr>
            </w:pPr>
          </w:p>
        </w:tc>
        <w:tc>
          <w:tcPr>
            <w:tcW w:w="1035"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36.93</w:t>
            </w:r>
          </w:p>
        </w:tc>
        <w:tc>
          <w:tcPr>
            <w:tcW w:w="1200" w:type="dxa"/>
            <w:vAlign w:val="center"/>
          </w:tcPr>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36.93</w:t>
            </w: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2199" w:type="dxa"/>
            <w:gridSpan w:val="2"/>
            <w:vAlign w:val="center"/>
          </w:tcPr>
          <w:p>
            <w:pPr>
              <w:pStyle w:val="4"/>
              <w:snapToGrid/>
              <w:spacing w:line="260" w:lineRule="exact"/>
              <w:rPr>
                <w:rFonts w:hint="eastAsia" w:ascii="仿宋" w:hAnsi="仿宋" w:eastAsia="仿宋" w:cs="仿宋"/>
                <w:color w:val="auto"/>
                <w:kern w:val="2"/>
                <w:sz w:val="18"/>
                <w:szCs w:val="18"/>
              </w:rPr>
            </w:pPr>
            <w:r>
              <w:rPr>
                <w:rFonts w:hint="eastAsia" w:ascii="仿宋" w:hAnsi="仿宋" w:eastAsia="仿宋" w:cs="仿宋"/>
                <w:color w:val="auto"/>
                <w:kern w:val="2"/>
                <w:sz w:val="18"/>
                <w:szCs w:val="18"/>
              </w:rPr>
              <w:t>按支出性质分：</w:t>
            </w:r>
          </w:p>
        </w:tc>
        <w:tc>
          <w:tcPr>
            <w:tcW w:w="1879" w:type="dxa"/>
            <w:gridSpan w:val="2"/>
            <w:vAlign w:val="center"/>
          </w:tcPr>
          <w:p>
            <w:pPr>
              <w:spacing w:line="260" w:lineRule="exact"/>
              <w:jc w:val="center"/>
              <w:rPr>
                <w:rFonts w:hint="eastAsia" w:ascii="仿宋" w:hAnsi="仿宋" w:eastAsia="仿宋" w:cs="仿宋"/>
                <w:color w:val="auto"/>
                <w:sz w:val="18"/>
                <w:szCs w:val="18"/>
              </w:rPr>
            </w:pPr>
          </w:p>
        </w:tc>
        <w:tc>
          <w:tcPr>
            <w:tcW w:w="1035" w:type="dxa"/>
            <w:gridSpan w:val="2"/>
            <w:vAlign w:val="center"/>
          </w:tcPr>
          <w:p>
            <w:pPr>
              <w:spacing w:line="260" w:lineRule="exact"/>
              <w:jc w:val="center"/>
              <w:rPr>
                <w:rFonts w:hint="eastAsia" w:ascii="仿宋" w:hAnsi="仿宋" w:eastAsia="仿宋" w:cs="仿宋"/>
                <w:color w:val="auto"/>
                <w:sz w:val="18"/>
                <w:szCs w:val="18"/>
              </w:rPr>
            </w:pPr>
          </w:p>
        </w:tc>
        <w:tc>
          <w:tcPr>
            <w:tcW w:w="1200" w:type="dxa"/>
            <w:vAlign w:val="center"/>
          </w:tcPr>
          <w:p>
            <w:pPr>
              <w:spacing w:line="260" w:lineRule="exact"/>
              <w:jc w:val="center"/>
              <w:rPr>
                <w:rFonts w:hint="eastAsia" w:ascii="仿宋" w:hAnsi="仿宋" w:eastAsia="仿宋" w:cs="仿宋"/>
                <w:color w:val="auto"/>
                <w:sz w:val="18"/>
                <w:szCs w:val="18"/>
              </w:rPr>
            </w:pP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2199" w:type="dxa"/>
            <w:gridSpan w:val="2"/>
            <w:vAlign w:val="center"/>
          </w:tcPr>
          <w:p>
            <w:pPr>
              <w:spacing w:line="260" w:lineRule="exact"/>
              <w:ind w:firstLine="180" w:firstLineChars="100"/>
              <w:jc w:val="left"/>
              <w:rPr>
                <w:rFonts w:hint="eastAsia" w:ascii="仿宋" w:hAnsi="仿宋" w:eastAsia="仿宋" w:cs="仿宋"/>
                <w:color w:val="auto"/>
                <w:sz w:val="18"/>
                <w:szCs w:val="18"/>
              </w:rPr>
            </w:pPr>
            <w:r>
              <w:rPr>
                <w:rFonts w:hint="eastAsia" w:ascii="仿宋" w:hAnsi="仿宋" w:eastAsia="仿宋" w:cs="仿宋"/>
                <w:color w:val="auto"/>
                <w:sz w:val="18"/>
                <w:szCs w:val="18"/>
              </w:rPr>
              <w:t>基本支出</w:t>
            </w:r>
          </w:p>
        </w:tc>
        <w:tc>
          <w:tcPr>
            <w:tcW w:w="1879" w:type="dxa"/>
            <w:gridSpan w:val="2"/>
            <w:vAlign w:val="center"/>
          </w:tcPr>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1120.06</w:t>
            </w:r>
          </w:p>
          <w:p>
            <w:pPr>
              <w:widowControl/>
              <w:jc w:val="center"/>
              <w:rPr>
                <w:rFonts w:hint="eastAsia" w:ascii="仿宋" w:hAnsi="仿宋" w:eastAsia="仿宋" w:cs="仿宋"/>
                <w:color w:val="auto"/>
                <w:kern w:val="0"/>
                <w:sz w:val="18"/>
                <w:szCs w:val="18"/>
              </w:rPr>
            </w:pPr>
          </w:p>
        </w:tc>
        <w:tc>
          <w:tcPr>
            <w:tcW w:w="1035" w:type="dxa"/>
            <w:gridSpan w:val="2"/>
            <w:vAlign w:val="center"/>
          </w:tcPr>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1748.38</w:t>
            </w:r>
          </w:p>
        </w:tc>
        <w:tc>
          <w:tcPr>
            <w:tcW w:w="1200" w:type="dxa"/>
            <w:vAlign w:val="center"/>
          </w:tcPr>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1748.38</w:t>
            </w: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2199" w:type="dxa"/>
            <w:gridSpan w:val="2"/>
            <w:vAlign w:val="center"/>
          </w:tcPr>
          <w:p>
            <w:pPr>
              <w:spacing w:line="260" w:lineRule="exact"/>
              <w:ind w:firstLine="180" w:firstLineChars="100"/>
              <w:jc w:val="left"/>
              <w:rPr>
                <w:rFonts w:hint="eastAsia" w:ascii="仿宋" w:hAnsi="仿宋" w:eastAsia="仿宋" w:cs="仿宋"/>
                <w:color w:val="auto"/>
                <w:sz w:val="18"/>
                <w:szCs w:val="18"/>
              </w:rPr>
            </w:pPr>
            <w:r>
              <w:rPr>
                <w:rFonts w:hint="eastAsia" w:ascii="仿宋" w:hAnsi="仿宋" w:eastAsia="仿宋" w:cs="仿宋"/>
                <w:color w:val="auto"/>
                <w:sz w:val="18"/>
                <w:szCs w:val="18"/>
              </w:rPr>
              <w:t>项目支出</w:t>
            </w:r>
          </w:p>
        </w:tc>
        <w:tc>
          <w:tcPr>
            <w:tcW w:w="1879" w:type="dxa"/>
            <w:gridSpan w:val="2"/>
            <w:vAlign w:val="center"/>
          </w:tcPr>
          <w:p>
            <w:pPr>
              <w:spacing w:line="260" w:lineRule="exact"/>
              <w:jc w:val="center"/>
              <w:rPr>
                <w:rFonts w:hint="eastAsia" w:ascii="仿宋" w:hAnsi="仿宋" w:eastAsia="仿宋" w:cs="仿宋"/>
                <w:color w:val="auto"/>
                <w:sz w:val="18"/>
                <w:szCs w:val="18"/>
              </w:rPr>
            </w:pPr>
          </w:p>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691.31</w:t>
            </w:r>
          </w:p>
        </w:tc>
        <w:tc>
          <w:tcPr>
            <w:tcW w:w="1035" w:type="dxa"/>
            <w:gridSpan w:val="2"/>
            <w:vAlign w:val="center"/>
          </w:tcPr>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1701.23</w:t>
            </w:r>
          </w:p>
        </w:tc>
        <w:tc>
          <w:tcPr>
            <w:tcW w:w="1200" w:type="dxa"/>
            <w:vAlign w:val="center"/>
          </w:tcPr>
          <w:p>
            <w:pPr>
              <w:widowControl/>
              <w:jc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1701.23</w:t>
            </w: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c>
          <w:tcPr>
            <w:tcW w:w="1153"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restart"/>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年度总体目标</w:t>
            </w:r>
          </w:p>
        </w:tc>
        <w:tc>
          <w:tcPr>
            <w:tcW w:w="4078" w:type="dxa"/>
            <w:gridSpan w:val="4"/>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预期目标</w:t>
            </w:r>
          </w:p>
        </w:tc>
        <w:tc>
          <w:tcPr>
            <w:tcW w:w="4851" w:type="dxa"/>
            <w:gridSpan w:val="6"/>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 xml:space="preserve">实际完成情况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4078" w:type="dxa"/>
            <w:gridSpan w:val="4"/>
            <w:vAlign w:val="center"/>
          </w:tcPr>
          <w:p>
            <w:pPr>
              <w:spacing w:line="260" w:lineRule="exact"/>
              <w:ind w:right="5" w:firstLine="360" w:firstLineChars="200"/>
              <w:rPr>
                <w:rFonts w:hint="eastAsia" w:ascii="仿宋" w:hAnsi="仿宋" w:eastAsia="仿宋" w:cs="仿宋"/>
                <w:color w:val="auto"/>
                <w:sz w:val="18"/>
                <w:szCs w:val="18"/>
                <w:lang w:eastAsia="zh-CN"/>
              </w:rPr>
            </w:pPr>
            <w:r>
              <w:rPr>
                <w:rFonts w:hint="eastAsia" w:ascii="仿宋" w:hAnsi="仿宋" w:eastAsia="仿宋" w:cs="仿宋"/>
                <w:color w:val="auto"/>
                <w:sz w:val="18"/>
                <w:szCs w:val="18"/>
              </w:rPr>
              <w:t>完成全州“十四五”各项规划编制、出政策推动发展、抓运行保障发展；落实重点项目及融资，落实“六稳”工作和“六保”任务，落实实体经济优惠政策全面完成易地扶贫搬迁任务决胜脱贫攻坚，全力打好污染防治攻坚战。完善政府投资评审工作，加强经济社会风险防范。办好民生实事-稳就业，加强价格监测。推进经济体制和社会事业领域改革，推进营商环境优化，改善信用环境。严格执行“三会一课” ，按照新的“三定”选齐配好干部队伍，关键岗位轮岗交流，提升干部队伍的凝聚力战斗力。多方发力推动经济高质量发展</w:t>
            </w:r>
            <w:r>
              <w:rPr>
                <w:rFonts w:hint="eastAsia" w:ascii="仿宋" w:hAnsi="仿宋" w:eastAsia="仿宋" w:cs="仿宋"/>
                <w:color w:val="auto"/>
                <w:sz w:val="18"/>
                <w:szCs w:val="18"/>
                <w:lang w:eastAsia="zh-CN"/>
              </w:rPr>
              <w:t>。</w:t>
            </w:r>
          </w:p>
          <w:p>
            <w:pPr>
              <w:spacing w:line="260" w:lineRule="exact"/>
              <w:ind w:right="5"/>
              <w:rPr>
                <w:rFonts w:hint="eastAsia" w:ascii="仿宋" w:hAnsi="仿宋" w:eastAsia="仿宋" w:cs="仿宋"/>
                <w:color w:val="auto"/>
                <w:sz w:val="18"/>
                <w:szCs w:val="18"/>
              </w:rPr>
            </w:pPr>
          </w:p>
        </w:tc>
        <w:tc>
          <w:tcPr>
            <w:tcW w:w="4851" w:type="dxa"/>
            <w:gridSpan w:val="6"/>
            <w:vAlign w:val="center"/>
          </w:tcPr>
          <w:p>
            <w:pPr>
              <w:spacing w:line="260" w:lineRule="exact"/>
              <w:ind w:right="5"/>
              <w:rPr>
                <w:rFonts w:hint="eastAsia" w:ascii="仿宋" w:hAnsi="仿宋" w:eastAsia="仿宋" w:cs="仿宋"/>
                <w:color w:val="auto"/>
                <w:sz w:val="18"/>
                <w:szCs w:val="18"/>
              </w:rPr>
            </w:pPr>
            <w:r>
              <w:rPr>
                <w:rFonts w:hint="eastAsia" w:ascii="仿宋" w:hAnsi="仿宋" w:eastAsia="仿宋" w:cs="仿宋"/>
                <w:color w:val="auto"/>
                <w:sz w:val="18"/>
                <w:szCs w:val="18"/>
              </w:rPr>
              <w:t>编制完成《湘西州国民经济和社会发展第十四个五年规划和二〇三五年远景目标纲要（草案）》《湘西自治州承接产业转移示范区发展规划》等文件；全年固定资产投资增长6.1%。与金融机构战略合作，46个企业项目签约授信额度125亿元；落实32家企业减税3765万元；</w:t>
            </w:r>
            <w:r>
              <w:rPr>
                <w:rFonts w:hint="eastAsia" w:ascii="仿宋" w:hAnsi="仿宋" w:eastAsia="仿宋" w:cs="仿宋"/>
                <w:bCs/>
                <w:color w:val="auto"/>
                <w:sz w:val="18"/>
                <w:szCs w:val="18"/>
              </w:rPr>
              <w:t>高载能企业和高新技术企业执行优惠电价政策，优惠金额1.9亿元以上；下调非居民用天然气销售价格，累计优惠金额203.5万元；</w:t>
            </w:r>
            <w:r>
              <w:rPr>
                <w:rFonts w:hint="eastAsia" w:ascii="仿宋" w:hAnsi="仿宋" w:eastAsia="仿宋" w:cs="仿宋"/>
                <w:color w:val="auto"/>
                <w:sz w:val="18"/>
                <w:szCs w:val="18"/>
              </w:rPr>
              <w:t>新建标准厂房118万平方米；建成安置住房1.97万套约204万平方米，建档立卡贫困群众1.97万户8.18万人；构建“1+9+200+450”营商环境监测体系；营商环境满意度由48.3%提高至69.3%；推进重要政策落实108项；多方发力推动经济高质量发展。</w:t>
            </w:r>
            <w:r>
              <w:rPr>
                <w:rFonts w:hint="eastAsia" w:ascii="仿宋" w:hAnsi="仿宋" w:eastAsia="仿宋" w:cs="仿宋"/>
                <w:bCs/>
                <w:color w:val="auto"/>
                <w:sz w:val="18"/>
                <w:szCs w:val="18"/>
              </w:rPr>
              <w:t>在全州梳理的三批推进重要政策落实的工作中，州发改委负责的事项达108项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vMerge w:val="restart"/>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绩</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效</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指</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标</w:t>
            </w:r>
          </w:p>
        </w:tc>
        <w:tc>
          <w:tcPr>
            <w:tcW w:w="1125"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一级指标</w:t>
            </w:r>
          </w:p>
        </w:tc>
        <w:tc>
          <w:tcPr>
            <w:tcW w:w="1074"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二级指标</w:t>
            </w:r>
          </w:p>
        </w:tc>
        <w:tc>
          <w:tcPr>
            <w:tcW w:w="1295"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三级指标</w:t>
            </w:r>
          </w:p>
        </w:tc>
        <w:tc>
          <w:tcPr>
            <w:tcW w:w="1171"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年度</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指标值</w:t>
            </w:r>
          </w:p>
        </w:tc>
        <w:tc>
          <w:tcPr>
            <w:tcW w:w="1648"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实际</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完成值</w:t>
            </w: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分值</w:t>
            </w:r>
          </w:p>
        </w:tc>
        <w:tc>
          <w:tcPr>
            <w:tcW w:w="857"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得分</w:t>
            </w:r>
          </w:p>
        </w:tc>
        <w:tc>
          <w:tcPr>
            <w:tcW w:w="1153" w:type="dxa"/>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偏差原因</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分析及</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restart"/>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产出指标</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(50分)</w:t>
            </w:r>
          </w:p>
        </w:tc>
        <w:tc>
          <w:tcPr>
            <w:tcW w:w="1074" w:type="dxa"/>
            <w:vMerge w:val="restart"/>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数量</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指标</w:t>
            </w: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固定资产投资增长</w:t>
            </w:r>
          </w:p>
        </w:tc>
        <w:tc>
          <w:tcPr>
            <w:tcW w:w="1171" w:type="dxa"/>
            <w:gridSpan w:val="2"/>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sz w:val="18"/>
                <w:szCs w:val="18"/>
              </w:rPr>
              <w:t>5.0%</w:t>
            </w:r>
          </w:p>
        </w:tc>
        <w:tc>
          <w:tcPr>
            <w:tcW w:w="1648" w:type="dxa"/>
            <w:gridSpan w:val="2"/>
            <w:vAlign w:val="center"/>
          </w:tcPr>
          <w:p>
            <w:pPr>
              <w:widowControl/>
              <w:jc w:val="center"/>
              <w:textAlignment w:val="center"/>
              <w:rPr>
                <w:rFonts w:hint="eastAsia" w:ascii="仿宋" w:hAnsi="仿宋" w:eastAsia="仿宋" w:cs="仿宋"/>
                <w:color w:val="auto"/>
                <w:sz w:val="18"/>
                <w:szCs w:val="18"/>
              </w:rPr>
            </w:pPr>
          </w:p>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6.1%</w:t>
            </w:r>
          </w:p>
          <w:p>
            <w:pPr>
              <w:spacing w:line="260" w:lineRule="exact"/>
              <w:jc w:val="center"/>
              <w:rPr>
                <w:rFonts w:hint="eastAsia" w:ascii="仿宋" w:hAnsi="仿宋" w:eastAsia="仿宋" w:cs="仿宋"/>
                <w:color w:val="auto"/>
                <w:sz w:val="18"/>
                <w:szCs w:val="18"/>
              </w:rPr>
            </w:pPr>
          </w:p>
        </w:tc>
        <w:tc>
          <w:tcPr>
            <w:tcW w:w="606" w:type="dxa"/>
            <w:vAlign w:val="center"/>
          </w:tcPr>
          <w:p>
            <w:pPr>
              <w:widowControl/>
              <w:jc w:val="center"/>
              <w:textAlignment w:val="center"/>
              <w:rPr>
                <w:rFonts w:hint="eastAsia" w:ascii="仿宋" w:hAnsi="仿宋" w:eastAsia="仿宋" w:cs="仿宋"/>
                <w:color w:val="auto"/>
                <w:sz w:val="18"/>
                <w:szCs w:val="18"/>
                <w:lang w:eastAsia="zh-CN"/>
              </w:rPr>
            </w:pPr>
            <w:r>
              <w:rPr>
                <w:rFonts w:hint="eastAsia" w:ascii="仿宋" w:hAnsi="仿宋" w:eastAsia="仿宋" w:cs="仿宋"/>
                <w:color w:val="auto"/>
                <w:kern w:val="0"/>
                <w:sz w:val="18"/>
                <w:szCs w:val="18"/>
                <w:lang w:val="en-US" w:eastAsia="zh-CN"/>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val="en-US" w:eastAsia="zh-CN"/>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center"/>
              <w:rPr>
                <w:rFonts w:hint="eastAsia" w:ascii="仿宋" w:hAnsi="仿宋" w:eastAsia="仿宋" w:cs="仿宋"/>
                <w:color w:val="auto"/>
                <w:sz w:val="18"/>
                <w:szCs w:val="18"/>
              </w:rPr>
            </w:pPr>
          </w:p>
        </w:tc>
        <w:tc>
          <w:tcPr>
            <w:tcW w:w="1074" w:type="dxa"/>
            <w:vMerge w:val="continue"/>
            <w:vAlign w:val="center"/>
          </w:tcPr>
          <w:p>
            <w:pPr>
              <w:spacing w:line="260" w:lineRule="exact"/>
              <w:jc w:val="center"/>
              <w:rPr>
                <w:rFonts w:hint="eastAsia" w:ascii="仿宋" w:hAnsi="仿宋" w:eastAsia="仿宋" w:cs="仿宋"/>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b w:val="0"/>
                <w:bCs w:val="0"/>
                <w:color w:val="auto"/>
                <w:kern w:val="0"/>
                <w:sz w:val="18"/>
                <w:szCs w:val="18"/>
              </w:rPr>
              <w:t>产业项目</w:t>
            </w:r>
          </w:p>
        </w:tc>
        <w:tc>
          <w:tcPr>
            <w:tcW w:w="1171" w:type="dxa"/>
            <w:gridSpan w:val="2"/>
            <w:vAlign w:val="center"/>
          </w:tcPr>
          <w:p>
            <w:pPr>
              <w:widowControl/>
              <w:jc w:val="center"/>
              <w:textAlignment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完成投资260亿元</w:t>
            </w:r>
          </w:p>
        </w:tc>
        <w:tc>
          <w:tcPr>
            <w:tcW w:w="1648"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实际完成投资</w:t>
            </w:r>
            <w:r>
              <w:rPr>
                <w:rFonts w:hint="eastAsia" w:ascii="仿宋" w:hAnsi="仿宋" w:eastAsia="仿宋" w:cs="仿宋"/>
                <w:color w:val="auto"/>
                <w:sz w:val="18"/>
                <w:szCs w:val="18"/>
              </w:rPr>
              <w:t>509亿元</w:t>
            </w:r>
          </w:p>
        </w:tc>
        <w:tc>
          <w:tcPr>
            <w:tcW w:w="606" w:type="dxa"/>
            <w:vAlign w:val="center"/>
          </w:tcPr>
          <w:p>
            <w:pPr>
              <w:widowControl/>
              <w:jc w:val="center"/>
              <w:textAlignment w:val="center"/>
              <w:rPr>
                <w:rFonts w:hint="eastAsia" w:ascii="仿宋" w:hAnsi="仿宋" w:eastAsia="仿宋" w:cs="仿宋"/>
                <w:color w:val="auto"/>
                <w:kern w:val="0"/>
                <w:sz w:val="18"/>
                <w:szCs w:val="18"/>
                <w:lang w:eastAsia="zh-CN"/>
              </w:rPr>
            </w:pPr>
            <w:r>
              <w:rPr>
                <w:rFonts w:hint="eastAsia" w:ascii="仿宋" w:hAnsi="仿宋" w:eastAsia="仿宋" w:cs="仿宋"/>
                <w:color w:val="auto"/>
                <w:kern w:val="0"/>
                <w:sz w:val="18"/>
                <w:szCs w:val="18"/>
                <w:lang w:val="en-US" w:eastAsia="zh-CN"/>
              </w:rPr>
              <w:t>3</w:t>
            </w:r>
          </w:p>
        </w:tc>
        <w:tc>
          <w:tcPr>
            <w:tcW w:w="857" w:type="dxa"/>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lang w:val="en-US" w:eastAsia="zh-CN"/>
              </w:rPr>
              <w:t>3</w:t>
            </w:r>
          </w:p>
        </w:tc>
        <w:tc>
          <w:tcPr>
            <w:tcW w:w="1153" w:type="dxa"/>
            <w:vAlign w:val="center"/>
          </w:tcPr>
          <w:p>
            <w:pPr>
              <w:widowControl/>
              <w:jc w:val="center"/>
              <w:textAlignment w:val="center"/>
              <w:rPr>
                <w:rFonts w:hint="eastAsia" w:ascii="仿宋" w:hAnsi="仿宋" w:eastAsia="仿宋"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center"/>
              <w:rPr>
                <w:rFonts w:hint="eastAsia" w:ascii="仿宋" w:hAnsi="仿宋" w:eastAsia="仿宋" w:cs="仿宋"/>
                <w:color w:val="auto"/>
                <w:sz w:val="18"/>
                <w:szCs w:val="18"/>
              </w:rPr>
            </w:pPr>
          </w:p>
        </w:tc>
        <w:tc>
          <w:tcPr>
            <w:tcW w:w="1074" w:type="dxa"/>
            <w:vMerge w:val="continue"/>
            <w:vAlign w:val="center"/>
          </w:tcPr>
          <w:p>
            <w:pPr>
              <w:spacing w:line="260" w:lineRule="exact"/>
              <w:jc w:val="center"/>
              <w:rPr>
                <w:rFonts w:hint="eastAsia" w:ascii="仿宋" w:hAnsi="仿宋" w:eastAsia="仿宋" w:cs="仿宋"/>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重要政策落实</w:t>
            </w:r>
          </w:p>
        </w:tc>
        <w:tc>
          <w:tcPr>
            <w:tcW w:w="1171" w:type="dxa"/>
            <w:gridSpan w:val="2"/>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达100项</w:t>
            </w:r>
          </w:p>
        </w:tc>
        <w:tc>
          <w:tcPr>
            <w:tcW w:w="1648" w:type="dxa"/>
            <w:gridSpan w:val="2"/>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 xml:space="preserve">108项 </w:t>
            </w:r>
          </w:p>
        </w:tc>
        <w:tc>
          <w:tcPr>
            <w:tcW w:w="606" w:type="dxa"/>
            <w:vAlign w:val="center"/>
          </w:tcPr>
          <w:p>
            <w:pPr>
              <w:widowControl/>
              <w:jc w:val="center"/>
              <w:textAlignment w:val="center"/>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3</w:t>
            </w:r>
          </w:p>
        </w:tc>
        <w:tc>
          <w:tcPr>
            <w:tcW w:w="857" w:type="dxa"/>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sz w:val="18"/>
                <w:szCs w:val="18"/>
                <w:lang w:val="en-US" w:eastAsia="zh-CN"/>
              </w:rPr>
              <w:t>3</w:t>
            </w:r>
          </w:p>
        </w:tc>
        <w:tc>
          <w:tcPr>
            <w:tcW w:w="1153" w:type="dxa"/>
            <w:vAlign w:val="center"/>
          </w:tcPr>
          <w:p>
            <w:pPr>
              <w:widowControl/>
              <w:jc w:val="center"/>
              <w:textAlignment w:val="center"/>
              <w:rPr>
                <w:rFonts w:hint="eastAsia" w:ascii="仿宋" w:hAnsi="仿宋" w:eastAsia="仿宋"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b/>
                <w:bCs/>
                <w:color w:val="auto"/>
                <w:sz w:val="18"/>
                <w:szCs w:val="18"/>
              </w:rPr>
            </w:pPr>
          </w:p>
        </w:tc>
        <w:tc>
          <w:tcPr>
            <w:tcW w:w="1125" w:type="dxa"/>
            <w:vMerge w:val="continue"/>
            <w:vAlign w:val="center"/>
          </w:tcPr>
          <w:p>
            <w:pPr>
              <w:spacing w:line="260" w:lineRule="exact"/>
              <w:jc w:val="center"/>
              <w:rPr>
                <w:rFonts w:hint="eastAsia" w:ascii="仿宋" w:hAnsi="仿宋" w:eastAsia="仿宋" w:cs="仿宋"/>
                <w:b/>
                <w:bCs/>
                <w:color w:val="auto"/>
                <w:sz w:val="18"/>
                <w:szCs w:val="18"/>
              </w:rPr>
            </w:pPr>
          </w:p>
        </w:tc>
        <w:tc>
          <w:tcPr>
            <w:tcW w:w="1074" w:type="dxa"/>
            <w:vMerge w:val="continue"/>
            <w:vAlign w:val="center"/>
          </w:tcPr>
          <w:p>
            <w:pPr>
              <w:spacing w:line="260" w:lineRule="exact"/>
              <w:jc w:val="center"/>
              <w:rPr>
                <w:rFonts w:hint="eastAsia" w:ascii="仿宋" w:hAnsi="仿宋" w:eastAsia="仿宋" w:cs="仿宋"/>
                <w:b/>
                <w:bCs/>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b w:val="0"/>
                <w:bCs w:val="0"/>
                <w:color w:val="auto"/>
                <w:kern w:val="0"/>
                <w:sz w:val="18"/>
                <w:szCs w:val="18"/>
              </w:rPr>
              <w:t>规划编制</w:t>
            </w:r>
          </w:p>
        </w:tc>
        <w:tc>
          <w:tcPr>
            <w:tcW w:w="1171" w:type="dxa"/>
            <w:gridSpan w:val="2"/>
            <w:vAlign w:val="center"/>
          </w:tcPr>
          <w:p>
            <w:pPr>
              <w:widowControl/>
              <w:jc w:val="both"/>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起草形成“十四五”规划纲要框架</w:t>
            </w:r>
          </w:p>
        </w:tc>
        <w:tc>
          <w:tcPr>
            <w:tcW w:w="1648" w:type="dxa"/>
            <w:gridSpan w:val="2"/>
            <w:vAlign w:val="center"/>
          </w:tcPr>
          <w:p>
            <w:pPr>
              <w:widowControl/>
              <w:jc w:val="both"/>
              <w:textAlignment w:val="center"/>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编制完成《湘西州国民经济和社会发展第十四个五年规划和二〇三五年远景目标纲要（草案）》，并已提交州十四届人大六次会议审议通过</w:t>
            </w:r>
            <w:r>
              <w:rPr>
                <w:rFonts w:hint="eastAsia" w:ascii="仿宋" w:hAnsi="仿宋" w:eastAsia="仿宋" w:cs="仿宋"/>
                <w:color w:val="auto"/>
                <w:sz w:val="18"/>
                <w:szCs w:val="18"/>
                <w:lang w:eastAsia="zh-CN"/>
              </w:rPr>
              <w:t>。</w:t>
            </w:r>
          </w:p>
        </w:tc>
        <w:tc>
          <w:tcPr>
            <w:tcW w:w="606" w:type="dxa"/>
            <w:vAlign w:val="center"/>
          </w:tcPr>
          <w:p>
            <w:pPr>
              <w:widowControl/>
              <w:jc w:val="center"/>
              <w:textAlignment w:val="center"/>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5</w:t>
            </w:r>
          </w:p>
        </w:tc>
        <w:tc>
          <w:tcPr>
            <w:tcW w:w="857" w:type="dxa"/>
            <w:vAlign w:val="center"/>
          </w:tcPr>
          <w:p>
            <w:pPr>
              <w:widowControl/>
              <w:jc w:val="center"/>
              <w:textAlignment w:val="center"/>
              <w:rPr>
                <w:rFonts w:hint="eastAsia" w:ascii="仿宋" w:hAnsi="仿宋" w:eastAsia="仿宋" w:cs="仿宋"/>
                <w:color w:val="auto"/>
                <w:kern w:val="0"/>
                <w:sz w:val="18"/>
                <w:szCs w:val="18"/>
                <w:lang w:eastAsia="zh-CN"/>
              </w:rPr>
            </w:pPr>
            <w:r>
              <w:rPr>
                <w:rFonts w:hint="eastAsia" w:ascii="仿宋" w:hAnsi="仿宋" w:eastAsia="仿宋" w:cs="仿宋"/>
                <w:color w:val="auto"/>
                <w:sz w:val="18"/>
                <w:szCs w:val="18"/>
                <w:lang w:val="en-US" w:eastAsia="zh-CN"/>
              </w:rPr>
              <w:t>5</w:t>
            </w:r>
          </w:p>
        </w:tc>
        <w:tc>
          <w:tcPr>
            <w:tcW w:w="1153" w:type="dxa"/>
            <w:vAlign w:val="center"/>
          </w:tcPr>
          <w:p>
            <w:pPr>
              <w:widowControl/>
              <w:jc w:val="center"/>
              <w:textAlignment w:val="center"/>
              <w:rPr>
                <w:rFonts w:hint="eastAsia" w:ascii="仿宋" w:hAnsi="仿宋" w:eastAsia="仿宋"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b/>
                <w:bCs/>
                <w:color w:val="auto"/>
                <w:sz w:val="18"/>
                <w:szCs w:val="18"/>
              </w:rPr>
            </w:pPr>
          </w:p>
        </w:tc>
        <w:tc>
          <w:tcPr>
            <w:tcW w:w="1125" w:type="dxa"/>
            <w:vMerge w:val="continue"/>
            <w:vAlign w:val="center"/>
          </w:tcPr>
          <w:p>
            <w:pPr>
              <w:spacing w:line="260" w:lineRule="exact"/>
              <w:jc w:val="center"/>
              <w:rPr>
                <w:rFonts w:hint="eastAsia" w:ascii="仿宋" w:hAnsi="仿宋" w:eastAsia="仿宋" w:cs="仿宋"/>
                <w:b/>
                <w:bCs/>
                <w:color w:val="auto"/>
                <w:sz w:val="18"/>
                <w:szCs w:val="18"/>
              </w:rPr>
            </w:pPr>
          </w:p>
        </w:tc>
        <w:tc>
          <w:tcPr>
            <w:tcW w:w="1074" w:type="dxa"/>
            <w:vMerge w:val="continue"/>
            <w:vAlign w:val="center"/>
          </w:tcPr>
          <w:p>
            <w:pPr>
              <w:spacing w:line="260" w:lineRule="exact"/>
              <w:jc w:val="center"/>
              <w:rPr>
                <w:rFonts w:hint="eastAsia" w:ascii="仿宋" w:hAnsi="仿宋" w:eastAsia="仿宋" w:cs="仿宋"/>
                <w:b/>
                <w:bCs/>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建成安置住房</w:t>
            </w:r>
          </w:p>
        </w:tc>
        <w:tc>
          <w:tcPr>
            <w:tcW w:w="1171" w:type="dxa"/>
            <w:gridSpan w:val="2"/>
            <w:vAlign w:val="center"/>
          </w:tcPr>
          <w:p>
            <w:pPr>
              <w:widowControl/>
              <w:jc w:val="both"/>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1.97万套</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约204万平方米</w:t>
            </w:r>
          </w:p>
        </w:tc>
        <w:tc>
          <w:tcPr>
            <w:tcW w:w="1648" w:type="dxa"/>
            <w:gridSpan w:val="2"/>
            <w:vAlign w:val="center"/>
          </w:tcPr>
          <w:p>
            <w:pPr>
              <w:widowControl/>
              <w:jc w:val="both"/>
              <w:textAlignment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w:t>
            </w:r>
            <w:r>
              <w:rPr>
                <w:rFonts w:hint="eastAsia" w:ascii="仿宋" w:hAnsi="仿宋" w:eastAsia="仿宋" w:cs="仿宋"/>
                <w:color w:val="auto"/>
                <w:sz w:val="18"/>
                <w:szCs w:val="18"/>
              </w:rPr>
              <w:t>1.97万套</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约204万平方米</w:t>
            </w:r>
          </w:p>
        </w:tc>
        <w:tc>
          <w:tcPr>
            <w:tcW w:w="606" w:type="dxa"/>
            <w:vAlign w:val="center"/>
          </w:tcPr>
          <w:p>
            <w:pPr>
              <w:widowControl/>
              <w:jc w:val="center"/>
              <w:textAlignment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p>
        </w:tc>
        <w:tc>
          <w:tcPr>
            <w:tcW w:w="857" w:type="dxa"/>
            <w:vAlign w:val="center"/>
          </w:tcPr>
          <w:p>
            <w:pPr>
              <w:widowControl/>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sz w:val="18"/>
                <w:szCs w:val="18"/>
                <w:lang w:val="en-US" w:eastAsia="zh-CN"/>
              </w:rPr>
              <w:t>3</w:t>
            </w:r>
          </w:p>
        </w:tc>
        <w:tc>
          <w:tcPr>
            <w:tcW w:w="1153" w:type="dxa"/>
            <w:vAlign w:val="center"/>
          </w:tcPr>
          <w:p>
            <w:pPr>
              <w:widowControl/>
              <w:jc w:val="center"/>
              <w:textAlignment w:val="center"/>
              <w:rPr>
                <w:rFonts w:hint="eastAsia" w:ascii="仿宋" w:hAnsi="仿宋" w:eastAsia="仿宋"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b/>
                <w:bCs/>
                <w:color w:val="auto"/>
                <w:sz w:val="18"/>
                <w:szCs w:val="18"/>
              </w:rPr>
            </w:pPr>
          </w:p>
        </w:tc>
        <w:tc>
          <w:tcPr>
            <w:tcW w:w="1125" w:type="dxa"/>
            <w:vMerge w:val="continue"/>
            <w:vAlign w:val="center"/>
          </w:tcPr>
          <w:p>
            <w:pPr>
              <w:spacing w:line="260" w:lineRule="exact"/>
              <w:jc w:val="center"/>
              <w:rPr>
                <w:rFonts w:hint="eastAsia" w:ascii="仿宋" w:hAnsi="仿宋" w:eastAsia="仿宋" w:cs="仿宋"/>
                <w:b/>
                <w:bCs/>
                <w:color w:val="auto"/>
                <w:sz w:val="18"/>
                <w:szCs w:val="18"/>
              </w:rPr>
            </w:pPr>
          </w:p>
        </w:tc>
        <w:tc>
          <w:tcPr>
            <w:tcW w:w="1074" w:type="dxa"/>
            <w:vMerge w:val="continue"/>
            <w:vAlign w:val="center"/>
          </w:tcPr>
          <w:p>
            <w:pPr>
              <w:spacing w:line="260" w:lineRule="exact"/>
              <w:jc w:val="center"/>
              <w:rPr>
                <w:rFonts w:hint="eastAsia" w:ascii="仿宋" w:hAnsi="仿宋" w:eastAsia="仿宋" w:cs="仿宋"/>
                <w:b/>
                <w:bCs/>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扶贫搬迁</w:t>
            </w:r>
          </w:p>
        </w:tc>
        <w:tc>
          <w:tcPr>
            <w:tcW w:w="1171" w:type="dxa"/>
            <w:gridSpan w:val="2"/>
            <w:vAlign w:val="center"/>
          </w:tcPr>
          <w:p>
            <w:pPr>
              <w:spacing w:line="26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1.97万户</w:t>
            </w:r>
          </w:p>
        </w:tc>
        <w:tc>
          <w:tcPr>
            <w:tcW w:w="1648" w:type="dxa"/>
            <w:gridSpan w:val="2"/>
            <w:vAlign w:val="center"/>
          </w:tcPr>
          <w:p>
            <w:pPr>
              <w:spacing w:line="260" w:lineRule="exact"/>
              <w:jc w:val="both"/>
              <w:rPr>
                <w:rFonts w:hint="eastAsia" w:ascii="仿宋" w:hAnsi="仿宋" w:eastAsia="仿宋" w:cs="仿宋"/>
                <w:b/>
                <w:bCs/>
                <w:color w:val="auto"/>
                <w:sz w:val="18"/>
                <w:szCs w:val="18"/>
              </w:rPr>
            </w:pPr>
            <w:r>
              <w:rPr>
                <w:rFonts w:hint="eastAsia" w:ascii="仿宋" w:hAnsi="仿宋" w:eastAsia="仿宋" w:cs="仿宋"/>
                <w:color w:val="auto"/>
                <w:sz w:val="18"/>
                <w:szCs w:val="18"/>
              </w:rPr>
              <w:t>1.97万建档立卡户</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8.18万人</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56" w:type="dxa"/>
            <w:vMerge w:val="continue"/>
            <w:vAlign w:val="center"/>
          </w:tcPr>
          <w:p>
            <w:pPr>
              <w:spacing w:line="260" w:lineRule="exact"/>
              <w:jc w:val="left"/>
              <w:rPr>
                <w:rFonts w:hint="eastAsia" w:ascii="仿宋" w:hAnsi="仿宋" w:eastAsia="仿宋" w:cs="仿宋"/>
                <w:b/>
                <w:bCs/>
                <w:color w:val="auto"/>
                <w:sz w:val="18"/>
                <w:szCs w:val="18"/>
              </w:rPr>
            </w:pPr>
          </w:p>
        </w:tc>
        <w:tc>
          <w:tcPr>
            <w:tcW w:w="1125" w:type="dxa"/>
            <w:vMerge w:val="continue"/>
            <w:vAlign w:val="center"/>
          </w:tcPr>
          <w:p>
            <w:pPr>
              <w:spacing w:line="260" w:lineRule="exact"/>
              <w:jc w:val="left"/>
              <w:rPr>
                <w:rFonts w:hint="eastAsia" w:ascii="仿宋" w:hAnsi="仿宋" w:eastAsia="仿宋" w:cs="仿宋"/>
                <w:b/>
                <w:bCs/>
                <w:color w:val="auto"/>
                <w:sz w:val="18"/>
                <w:szCs w:val="18"/>
              </w:rPr>
            </w:pPr>
          </w:p>
        </w:tc>
        <w:tc>
          <w:tcPr>
            <w:tcW w:w="1074" w:type="dxa"/>
            <w:vMerge w:val="restart"/>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质量</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指标</w:t>
            </w: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预算资金到位率</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90.56%</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lang w:eastAsia="zh-CN"/>
              </w:rPr>
            </w:pPr>
            <w:r>
              <w:rPr>
                <w:rFonts w:hint="eastAsia" w:ascii="仿宋" w:hAnsi="仿宋" w:eastAsia="仿宋" w:cs="仿宋"/>
                <w:color w:val="auto"/>
                <w:kern w:val="0"/>
                <w:sz w:val="18"/>
                <w:szCs w:val="18"/>
                <w:lang w:val="en-US" w:eastAsia="zh-CN"/>
              </w:rPr>
              <w:t>2</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continue"/>
            <w:vAlign w:val="center"/>
          </w:tcPr>
          <w:p>
            <w:pPr>
              <w:spacing w:line="260" w:lineRule="exact"/>
              <w:jc w:val="center"/>
              <w:rPr>
                <w:rFonts w:hint="eastAsia" w:ascii="仿宋" w:hAnsi="仿宋" w:eastAsia="仿宋" w:cs="仿宋"/>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全力优化营商环境</w:t>
            </w:r>
          </w:p>
        </w:tc>
        <w:tc>
          <w:tcPr>
            <w:tcW w:w="1171" w:type="dxa"/>
            <w:gridSpan w:val="2"/>
            <w:vAlign w:val="center"/>
          </w:tcPr>
          <w:p>
            <w:pPr>
              <w:widowControl/>
              <w:jc w:val="both"/>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重要政策落实、产融协同</w:t>
            </w:r>
          </w:p>
        </w:tc>
        <w:tc>
          <w:tcPr>
            <w:tcW w:w="1648" w:type="dxa"/>
            <w:gridSpan w:val="2"/>
            <w:vAlign w:val="center"/>
          </w:tcPr>
          <w:p>
            <w:pPr>
              <w:spacing w:line="26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构“1+9+200+450”营商环境监测体系营商环境</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满意度由48.3%提高至69.3%</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continue"/>
            <w:vAlign w:val="center"/>
          </w:tcPr>
          <w:p>
            <w:pPr>
              <w:spacing w:line="260" w:lineRule="exact"/>
              <w:jc w:val="left"/>
              <w:rPr>
                <w:rFonts w:hint="eastAsia" w:ascii="仿宋" w:hAnsi="仿宋" w:eastAsia="仿宋" w:cs="仿宋"/>
                <w:color w:val="auto"/>
                <w:sz w:val="18"/>
                <w:szCs w:val="18"/>
              </w:rPr>
            </w:pPr>
          </w:p>
        </w:tc>
        <w:tc>
          <w:tcPr>
            <w:tcW w:w="1295"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绩效目标合理性</w:t>
            </w:r>
          </w:p>
        </w:tc>
        <w:tc>
          <w:tcPr>
            <w:tcW w:w="1171" w:type="dxa"/>
            <w:gridSpan w:val="2"/>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达标</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优秀</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continue"/>
            <w:vAlign w:val="center"/>
          </w:tcPr>
          <w:p>
            <w:pPr>
              <w:spacing w:line="260" w:lineRule="exact"/>
              <w:jc w:val="left"/>
              <w:rPr>
                <w:rFonts w:hint="eastAsia" w:ascii="仿宋" w:hAnsi="仿宋" w:eastAsia="仿宋" w:cs="仿宋"/>
                <w:color w:val="auto"/>
                <w:sz w:val="18"/>
                <w:szCs w:val="18"/>
              </w:rPr>
            </w:pPr>
          </w:p>
        </w:tc>
        <w:tc>
          <w:tcPr>
            <w:tcW w:w="1295"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机关建设</w:t>
            </w:r>
          </w:p>
        </w:tc>
        <w:tc>
          <w:tcPr>
            <w:tcW w:w="1171" w:type="dxa"/>
            <w:gridSpan w:val="2"/>
            <w:vAlign w:val="center"/>
          </w:tcPr>
          <w:p>
            <w:pPr>
              <w:widowControl/>
              <w:jc w:val="both"/>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州文明单位</w:t>
            </w:r>
          </w:p>
        </w:tc>
        <w:tc>
          <w:tcPr>
            <w:tcW w:w="1648" w:type="dxa"/>
            <w:gridSpan w:val="2"/>
            <w:vAlign w:val="center"/>
          </w:tcPr>
          <w:p>
            <w:pPr>
              <w:widowControl/>
              <w:jc w:val="both"/>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全州优化营商环境先进单位、省级文明单位</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5</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5</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restart"/>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时效</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指标</w:t>
            </w: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重点工作完成及时率</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continue"/>
            <w:vAlign w:val="center"/>
          </w:tcPr>
          <w:p>
            <w:pPr>
              <w:spacing w:line="260" w:lineRule="exact"/>
              <w:jc w:val="left"/>
              <w:rPr>
                <w:rFonts w:hint="eastAsia" w:ascii="仿宋" w:hAnsi="仿宋" w:eastAsia="仿宋" w:cs="仿宋"/>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重要精神传达及时率</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606" w:type="dxa"/>
            <w:vAlign w:val="center"/>
          </w:tcPr>
          <w:p>
            <w:pPr>
              <w:widowControl/>
              <w:jc w:val="center"/>
              <w:textAlignment w:val="center"/>
              <w:rPr>
                <w:rFonts w:hint="eastAsia" w:ascii="仿宋" w:hAnsi="仿宋" w:eastAsia="仿宋" w:cs="仿宋"/>
                <w:color w:val="auto"/>
                <w:sz w:val="18"/>
                <w:szCs w:val="18"/>
                <w:lang w:eastAsia="zh-CN"/>
              </w:rPr>
            </w:pPr>
            <w:r>
              <w:rPr>
                <w:rFonts w:hint="eastAsia" w:ascii="仿宋" w:hAnsi="仿宋" w:eastAsia="仿宋" w:cs="仿宋"/>
                <w:color w:val="auto"/>
                <w:kern w:val="0"/>
                <w:sz w:val="18"/>
                <w:szCs w:val="18"/>
                <w:lang w:val="en-US" w:eastAsia="zh-CN"/>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val="en-US" w:eastAsia="zh-CN"/>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restart"/>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成本</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指标</w:t>
            </w: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在职人员控制率</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87.74%</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continue"/>
            <w:vAlign w:val="center"/>
          </w:tcPr>
          <w:p>
            <w:pPr>
              <w:spacing w:line="260" w:lineRule="exact"/>
              <w:jc w:val="center"/>
              <w:rPr>
                <w:rFonts w:hint="eastAsia" w:ascii="仿宋" w:hAnsi="仿宋" w:eastAsia="仿宋" w:cs="仿宋"/>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公用经费控制率</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110</w:t>
            </w:r>
            <w:r>
              <w:rPr>
                <w:rFonts w:hint="eastAsia" w:ascii="仿宋" w:hAnsi="仿宋" w:eastAsia="仿宋" w:cs="仿宋"/>
                <w:color w:val="auto"/>
                <w:sz w:val="18"/>
                <w:szCs w:val="18"/>
              </w:rPr>
              <w:t>%</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lang w:eastAsia="zh-CN"/>
              </w:rPr>
            </w:pPr>
            <w:r>
              <w:rPr>
                <w:rFonts w:hint="eastAsia" w:ascii="仿宋" w:hAnsi="仿宋" w:eastAsia="仿宋" w:cs="仿宋"/>
                <w:color w:val="auto"/>
                <w:kern w:val="0"/>
                <w:sz w:val="18"/>
                <w:szCs w:val="18"/>
                <w:lang w:val="en-US" w:eastAsia="zh-CN"/>
              </w:rPr>
              <w:t>2</w:t>
            </w:r>
          </w:p>
        </w:tc>
        <w:tc>
          <w:tcPr>
            <w:tcW w:w="1153" w:type="dxa"/>
            <w:vAlign w:val="center"/>
          </w:tcPr>
          <w:p>
            <w:pPr>
              <w:widowControl/>
              <w:jc w:val="center"/>
              <w:textAlignment w:val="center"/>
              <w:rPr>
                <w:rFonts w:hint="eastAsia" w:ascii="仿宋" w:hAnsi="仿宋" w:eastAsia="仿宋" w:cs="仿宋"/>
                <w:color w:val="auto"/>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continue"/>
            <w:vAlign w:val="center"/>
          </w:tcPr>
          <w:p>
            <w:pPr>
              <w:spacing w:line="260" w:lineRule="exact"/>
              <w:jc w:val="left"/>
              <w:rPr>
                <w:rFonts w:hint="eastAsia" w:ascii="仿宋" w:hAnsi="仿宋" w:eastAsia="仿宋" w:cs="仿宋"/>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“三公经费”控制率</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rPr>
              <w:t>50.41%</w:t>
            </w:r>
          </w:p>
        </w:tc>
        <w:tc>
          <w:tcPr>
            <w:tcW w:w="606" w:type="dxa"/>
            <w:vAlign w:val="center"/>
          </w:tcPr>
          <w:p>
            <w:pPr>
              <w:widowControl/>
              <w:jc w:val="center"/>
              <w:textAlignment w:val="center"/>
              <w:rPr>
                <w:rFonts w:hint="eastAsia" w:ascii="仿宋" w:hAnsi="仿宋" w:eastAsia="仿宋" w:cs="仿宋"/>
                <w:color w:val="auto"/>
                <w:sz w:val="18"/>
                <w:szCs w:val="18"/>
                <w:lang w:eastAsia="zh-CN"/>
              </w:rPr>
            </w:pPr>
            <w:r>
              <w:rPr>
                <w:rFonts w:hint="eastAsia" w:ascii="仿宋" w:hAnsi="仿宋" w:eastAsia="仿宋" w:cs="仿宋"/>
                <w:color w:val="auto"/>
                <w:kern w:val="0"/>
                <w:sz w:val="18"/>
                <w:szCs w:val="18"/>
                <w:lang w:val="en-US" w:eastAsia="zh-CN"/>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val="en-US" w:eastAsia="zh-CN"/>
              </w:rPr>
              <w:t>3</w:t>
            </w:r>
          </w:p>
        </w:tc>
        <w:tc>
          <w:tcPr>
            <w:tcW w:w="1153" w:type="dxa"/>
            <w:vAlign w:val="center"/>
          </w:tcPr>
          <w:p>
            <w:pPr>
              <w:widowControl/>
              <w:jc w:val="center"/>
              <w:textAlignment w:val="center"/>
              <w:rPr>
                <w:rFonts w:hint="eastAsia" w:ascii="仿宋" w:hAnsi="仿宋" w:eastAsia="仿宋"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continue"/>
            <w:vAlign w:val="center"/>
          </w:tcPr>
          <w:p>
            <w:pPr>
              <w:spacing w:line="260" w:lineRule="exact"/>
              <w:jc w:val="left"/>
              <w:rPr>
                <w:rFonts w:hint="eastAsia" w:ascii="仿宋" w:hAnsi="仿宋" w:eastAsia="仿宋" w:cs="仿宋"/>
                <w:color w:val="auto"/>
                <w:sz w:val="18"/>
                <w:szCs w:val="18"/>
              </w:rPr>
            </w:pPr>
          </w:p>
        </w:tc>
        <w:tc>
          <w:tcPr>
            <w:tcW w:w="1295"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固定资产利用率</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100%</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restart"/>
            <w:vAlign w:val="center"/>
          </w:tcPr>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效益指标</w:t>
            </w:r>
          </w:p>
          <w:p>
            <w:pPr>
              <w:spacing w:line="260" w:lineRule="exact"/>
              <w:jc w:val="left"/>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 xml:space="preserve">（30分） </w:t>
            </w:r>
          </w:p>
        </w:tc>
        <w:tc>
          <w:tcPr>
            <w:tcW w:w="1074"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经济效</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益指标</w:t>
            </w:r>
          </w:p>
        </w:tc>
        <w:tc>
          <w:tcPr>
            <w:tcW w:w="1295" w:type="dxa"/>
            <w:vAlign w:val="center"/>
          </w:tcPr>
          <w:p>
            <w:pPr>
              <w:widowControl/>
              <w:jc w:val="both"/>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 xml:space="preserve">牵头抓好“产业项目推进年”活动 </w:t>
            </w:r>
          </w:p>
        </w:tc>
        <w:tc>
          <w:tcPr>
            <w:tcW w:w="1171" w:type="dxa"/>
            <w:gridSpan w:val="2"/>
            <w:vAlign w:val="center"/>
          </w:tcPr>
          <w:p>
            <w:pPr>
              <w:widowControl/>
              <w:jc w:val="both"/>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围绕10大重点产业，重点打造10大特色优势产业链条，实施150个产业项目，完成投资260亿元，产业投资增长10%以上。</w:t>
            </w:r>
          </w:p>
        </w:tc>
        <w:tc>
          <w:tcPr>
            <w:tcW w:w="1648" w:type="dxa"/>
            <w:gridSpan w:val="2"/>
            <w:vAlign w:val="center"/>
          </w:tcPr>
          <w:p>
            <w:pPr>
              <w:widowControl/>
              <w:jc w:val="both"/>
              <w:textAlignment w:val="center"/>
              <w:rPr>
                <w:rFonts w:hint="eastAsia" w:ascii="仿宋" w:hAnsi="仿宋" w:eastAsia="仿宋" w:cs="仿宋"/>
                <w:color w:val="auto"/>
                <w:kern w:val="0"/>
                <w:sz w:val="18"/>
                <w:szCs w:val="18"/>
                <w:lang w:eastAsia="zh-CN"/>
              </w:rPr>
            </w:pPr>
            <w:r>
              <w:rPr>
                <w:rFonts w:hint="eastAsia" w:ascii="仿宋" w:hAnsi="仿宋" w:eastAsia="仿宋" w:cs="仿宋"/>
                <w:color w:val="auto"/>
                <w:kern w:val="0"/>
                <w:sz w:val="18"/>
                <w:szCs w:val="18"/>
              </w:rPr>
              <w:t>273个州重点建设项目完成投资509.7亿元，完成考核任务的127%</w:t>
            </w:r>
            <w:r>
              <w:rPr>
                <w:rFonts w:hint="eastAsia" w:ascii="仿宋" w:hAnsi="仿宋" w:eastAsia="仿宋" w:cs="仿宋"/>
                <w:color w:val="auto"/>
                <w:kern w:val="0"/>
                <w:sz w:val="18"/>
                <w:szCs w:val="18"/>
                <w:lang w:eastAsia="zh-CN"/>
              </w:rPr>
              <w:t>。州重点产业项目方面：130个州重点产业项目完成投资217.7亿元，为年度计划任务的103.8%。</w:t>
            </w:r>
          </w:p>
        </w:tc>
        <w:tc>
          <w:tcPr>
            <w:tcW w:w="606" w:type="dxa"/>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8</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8</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b w:val="0"/>
                <w:bCs w:val="0"/>
                <w:color w:val="auto"/>
                <w:sz w:val="18"/>
                <w:szCs w:val="18"/>
              </w:rPr>
            </w:pPr>
          </w:p>
        </w:tc>
        <w:tc>
          <w:tcPr>
            <w:tcW w:w="1074" w:type="dxa"/>
            <w:vAlign w:val="center"/>
          </w:tcPr>
          <w:p>
            <w:pPr>
              <w:spacing w:line="260" w:lineRule="exact"/>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社会效</w:t>
            </w:r>
          </w:p>
          <w:p>
            <w:pPr>
              <w:spacing w:line="260" w:lineRule="exact"/>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益指标</w:t>
            </w:r>
          </w:p>
        </w:tc>
        <w:tc>
          <w:tcPr>
            <w:tcW w:w="1295" w:type="dxa"/>
            <w:vAlign w:val="center"/>
          </w:tcPr>
          <w:p>
            <w:pPr>
              <w:widowControl/>
              <w:jc w:val="both"/>
              <w:textAlignment w:val="center"/>
              <w:rPr>
                <w:rFonts w:hint="eastAsia" w:ascii="仿宋" w:hAnsi="仿宋" w:eastAsia="仿宋" w:cs="仿宋"/>
                <w:color w:val="auto"/>
                <w:kern w:val="0"/>
                <w:sz w:val="18"/>
                <w:szCs w:val="18"/>
                <w:highlight w:val="none"/>
                <w:lang w:eastAsia="zh-CN"/>
              </w:rPr>
            </w:pPr>
            <w:r>
              <w:rPr>
                <w:rFonts w:hint="eastAsia" w:ascii="仿宋" w:hAnsi="仿宋" w:eastAsia="仿宋" w:cs="仿宋"/>
                <w:color w:val="auto"/>
                <w:kern w:val="0"/>
                <w:sz w:val="18"/>
                <w:szCs w:val="18"/>
                <w:highlight w:val="none"/>
              </w:rPr>
              <w:t>申报资金及抗疫国债，节约企业融资成本。落实电价优惠政策</w:t>
            </w:r>
            <w:r>
              <w:rPr>
                <w:rFonts w:hint="eastAsia" w:ascii="仿宋" w:hAnsi="仿宋" w:eastAsia="仿宋" w:cs="仿宋"/>
                <w:color w:val="auto"/>
                <w:kern w:val="0"/>
                <w:sz w:val="18"/>
                <w:szCs w:val="18"/>
                <w:highlight w:val="none"/>
                <w:lang w:eastAsia="zh-CN"/>
              </w:rPr>
              <w:t>。</w:t>
            </w:r>
          </w:p>
        </w:tc>
        <w:tc>
          <w:tcPr>
            <w:tcW w:w="1171" w:type="dxa"/>
            <w:gridSpan w:val="2"/>
            <w:vAlign w:val="center"/>
          </w:tcPr>
          <w:p>
            <w:pPr>
              <w:widowControl/>
              <w:jc w:val="both"/>
              <w:textAlignment w:val="center"/>
              <w:rPr>
                <w:rFonts w:hint="eastAsia" w:ascii="仿宋" w:hAnsi="仿宋" w:eastAsia="仿宋" w:cs="仿宋"/>
                <w:color w:val="auto"/>
                <w:kern w:val="0"/>
                <w:sz w:val="18"/>
                <w:szCs w:val="18"/>
                <w:highlight w:val="none"/>
                <w:lang w:eastAsia="zh-CN"/>
              </w:rPr>
            </w:pPr>
            <w:r>
              <w:rPr>
                <w:rFonts w:hint="eastAsia" w:ascii="仿宋" w:hAnsi="仿宋" w:eastAsia="仿宋" w:cs="仿宋"/>
                <w:color w:val="auto"/>
                <w:kern w:val="0"/>
                <w:sz w:val="18"/>
                <w:szCs w:val="18"/>
                <w:highlight w:val="none"/>
              </w:rPr>
              <w:t>40个企业项目签约授信额度120亿元20个项目拟争取1亿美元的亚行贷款项目</w:t>
            </w:r>
            <w:r>
              <w:rPr>
                <w:rFonts w:hint="eastAsia" w:ascii="仿宋" w:hAnsi="仿宋" w:eastAsia="仿宋" w:cs="仿宋"/>
                <w:color w:val="auto"/>
                <w:kern w:val="0"/>
                <w:sz w:val="18"/>
                <w:szCs w:val="18"/>
                <w:highlight w:val="none"/>
                <w:lang w:eastAsia="zh-CN"/>
              </w:rPr>
              <w:t>。</w:t>
            </w:r>
          </w:p>
        </w:tc>
        <w:tc>
          <w:tcPr>
            <w:tcW w:w="1648" w:type="dxa"/>
            <w:gridSpan w:val="2"/>
            <w:vAlign w:val="center"/>
          </w:tcPr>
          <w:p>
            <w:pPr>
              <w:widowControl/>
              <w:jc w:val="both"/>
              <w:textAlignment w:val="center"/>
              <w:rPr>
                <w:rFonts w:hint="eastAsia" w:ascii="仿宋" w:hAnsi="仿宋" w:eastAsia="仿宋" w:cs="仿宋"/>
                <w:color w:val="auto"/>
                <w:kern w:val="0"/>
                <w:sz w:val="18"/>
                <w:szCs w:val="18"/>
                <w:highlight w:val="none"/>
                <w:lang w:eastAsia="zh-CN"/>
              </w:rPr>
            </w:pPr>
            <w:r>
              <w:rPr>
                <w:rFonts w:hint="eastAsia" w:ascii="仿宋" w:hAnsi="仿宋" w:eastAsia="仿宋" w:cs="仿宋"/>
                <w:color w:val="auto"/>
                <w:kern w:val="0"/>
                <w:sz w:val="18"/>
                <w:szCs w:val="18"/>
                <w:highlight w:val="none"/>
              </w:rPr>
              <w:t>46个企业项目签约授信额度125亿元20个项目拟争取2亿美元的亚行贷款项目</w:t>
            </w:r>
            <w:r>
              <w:rPr>
                <w:rFonts w:hint="eastAsia" w:ascii="仿宋" w:hAnsi="仿宋" w:eastAsia="仿宋" w:cs="仿宋"/>
                <w:color w:val="auto"/>
                <w:kern w:val="0"/>
                <w:sz w:val="18"/>
                <w:szCs w:val="18"/>
                <w:highlight w:val="none"/>
                <w:lang w:eastAsia="zh-CN"/>
              </w:rPr>
              <w:t>。</w:t>
            </w:r>
          </w:p>
        </w:tc>
        <w:tc>
          <w:tcPr>
            <w:tcW w:w="606" w:type="dxa"/>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8</w:t>
            </w:r>
          </w:p>
        </w:tc>
        <w:tc>
          <w:tcPr>
            <w:tcW w:w="857" w:type="dxa"/>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8</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b w:val="0"/>
                <w:bCs w:val="0"/>
                <w:color w:val="auto"/>
                <w:sz w:val="18"/>
                <w:szCs w:val="18"/>
              </w:rPr>
            </w:pPr>
          </w:p>
        </w:tc>
        <w:tc>
          <w:tcPr>
            <w:tcW w:w="1074"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生态效</w:t>
            </w:r>
          </w:p>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益指标</w:t>
            </w:r>
          </w:p>
        </w:tc>
        <w:tc>
          <w:tcPr>
            <w:tcW w:w="1295" w:type="dxa"/>
            <w:vAlign w:val="center"/>
          </w:tcPr>
          <w:p>
            <w:pPr>
              <w:widowControl/>
              <w:jc w:val="both"/>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园区的环保建设</w:t>
            </w:r>
          </w:p>
        </w:tc>
        <w:tc>
          <w:tcPr>
            <w:tcW w:w="1171" w:type="dxa"/>
            <w:gridSpan w:val="2"/>
            <w:vAlign w:val="center"/>
          </w:tcPr>
          <w:p>
            <w:pPr>
              <w:widowControl/>
              <w:jc w:val="both"/>
              <w:textAlignment w:val="center"/>
              <w:rPr>
                <w:rFonts w:hint="eastAsia" w:ascii="仿宋" w:hAnsi="仿宋" w:eastAsia="仿宋" w:cs="仿宋"/>
                <w:color w:val="auto"/>
                <w:kern w:val="0"/>
                <w:sz w:val="18"/>
                <w:szCs w:val="18"/>
                <w:lang w:eastAsia="zh-CN"/>
              </w:rPr>
            </w:pPr>
            <w:r>
              <w:rPr>
                <w:rFonts w:hint="eastAsia" w:ascii="仿宋" w:hAnsi="仿宋" w:eastAsia="仿宋" w:cs="仿宋"/>
                <w:color w:val="auto"/>
                <w:kern w:val="0"/>
                <w:sz w:val="18"/>
                <w:szCs w:val="18"/>
              </w:rPr>
              <w:t>生态环境问题整改，能源“双控”目标，重点用能单位监察</w:t>
            </w:r>
            <w:r>
              <w:rPr>
                <w:rFonts w:hint="eastAsia" w:ascii="仿宋" w:hAnsi="仿宋" w:eastAsia="仿宋" w:cs="仿宋"/>
                <w:color w:val="auto"/>
                <w:kern w:val="0"/>
                <w:sz w:val="18"/>
                <w:szCs w:val="18"/>
                <w:lang w:eastAsia="zh-CN"/>
              </w:rPr>
              <w:t>。</w:t>
            </w:r>
          </w:p>
        </w:tc>
        <w:tc>
          <w:tcPr>
            <w:tcW w:w="1648" w:type="dxa"/>
            <w:gridSpan w:val="2"/>
            <w:vAlign w:val="center"/>
          </w:tcPr>
          <w:p>
            <w:pPr>
              <w:widowControl/>
              <w:jc w:val="both"/>
              <w:textAlignment w:val="center"/>
              <w:rPr>
                <w:rFonts w:hint="eastAsia" w:ascii="仿宋" w:hAnsi="仿宋" w:eastAsia="仿宋" w:cs="仿宋"/>
                <w:color w:val="auto"/>
                <w:kern w:val="0"/>
                <w:sz w:val="18"/>
                <w:szCs w:val="18"/>
                <w:lang w:eastAsia="zh-CN"/>
              </w:rPr>
            </w:pPr>
            <w:r>
              <w:rPr>
                <w:rFonts w:hint="eastAsia" w:ascii="仿宋" w:hAnsi="仿宋" w:eastAsia="仿宋" w:cs="仿宋"/>
                <w:color w:val="auto"/>
                <w:kern w:val="0"/>
                <w:sz w:val="18"/>
                <w:szCs w:val="18"/>
              </w:rPr>
              <w:t>长江经济带生态环境问题整改，“锰三角锰产业发展”专题调研。定能源“双控”目标，园区的区域节能评估工作，推进重点用能单位节能监察</w:t>
            </w:r>
            <w:r>
              <w:rPr>
                <w:rFonts w:hint="eastAsia" w:ascii="仿宋" w:hAnsi="仿宋" w:eastAsia="仿宋" w:cs="仿宋"/>
                <w:color w:val="auto"/>
                <w:kern w:val="0"/>
                <w:sz w:val="18"/>
                <w:szCs w:val="18"/>
                <w:lang w:eastAsia="zh-CN"/>
              </w:rPr>
              <w:t>。</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6</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6</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b w:val="0"/>
                <w:bCs w:val="0"/>
                <w:color w:val="auto"/>
                <w:sz w:val="18"/>
                <w:szCs w:val="18"/>
              </w:rPr>
            </w:pPr>
          </w:p>
        </w:tc>
        <w:tc>
          <w:tcPr>
            <w:tcW w:w="1074"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可持续影响指标</w:t>
            </w:r>
          </w:p>
        </w:tc>
        <w:tc>
          <w:tcPr>
            <w:tcW w:w="1295" w:type="dxa"/>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重大项目建设推进有力</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提升</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持续提升</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8</w:t>
            </w:r>
          </w:p>
        </w:tc>
        <w:tc>
          <w:tcPr>
            <w:tcW w:w="857" w:type="dxa"/>
            <w:vAlign w:val="center"/>
          </w:tcPr>
          <w:p>
            <w:pPr>
              <w:widowControl/>
              <w:jc w:val="center"/>
              <w:textAlignment w:val="center"/>
              <w:rPr>
                <w:rFonts w:hint="eastAsia" w:ascii="仿宋" w:hAnsi="仿宋" w:eastAsia="仿宋" w:cs="仿宋"/>
                <w:color w:val="auto"/>
                <w:sz w:val="18"/>
                <w:szCs w:val="18"/>
                <w:lang w:eastAsia="zh-CN"/>
              </w:rPr>
            </w:pPr>
            <w:r>
              <w:rPr>
                <w:rFonts w:hint="eastAsia" w:ascii="仿宋" w:hAnsi="仿宋" w:eastAsia="仿宋" w:cs="仿宋"/>
                <w:color w:val="auto"/>
                <w:kern w:val="0"/>
                <w:sz w:val="18"/>
                <w:szCs w:val="18"/>
                <w:lang w:val="en-US" w:eastAsia="zh-CN"/>
              </w:rPr>
              <w:t>7</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restart"/>
            <w:vAlign w:val="center"/>
          </w:tcPr>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满意度</w:t>
            </w:r>
          </w:p>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指标</w:t>
            </w:r>
          </w:p>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（10分）</w:t>
            </w:r>
          </w:p>
        </w:tc>
        <w:tc>
          <w:tcPr>
            <w:tcW w:w="1074" w:type="dxa"/>
            <w:vMerge w:val="restart"/>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服务对象满意度指标</w:t>
            </w:r>
          </w:p>
        </w:tc>
        <w:tc>
          <w:tcPr>
            <w:tcW w:w="1295" w:type="dxa"/>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部门满意度</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98%</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98%</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center"/>
              <w:rPr>
                <w:rFonts w:hint="eastAsia" w:ascii="仿宋" w:hAnsi="仿宋" w:eastAsia="仿宋" w:cs="仿宋"/>
                <w:color w:val="auto"/>
                <w:sz w:val="18"/>
                <w:szCs w:val="18"/>
              </w:rPr>
            </w:pPr>
          </w:p>
        </w:tc>
        <w:tc>
          <w:tcPr>
            <w:tcW w:w="1074" w:type="dxa"/>
            <w:vMerge w:val="continue"/>
            <w:vAlign w:val="center"/>
          </w:tcPr>
          <w:p>
            <w:pPr>
              <w:spacing w:line="260" w:lineRule="exact"/>
              <w:jc w:val="center"/>
              <w:rPr>
                <w:rFonts w:hint="eastAsia" w:ascii="仿宋" w:hAnsi="仿宋" w:eastAsia="仿宋" w:cs="仿宋"/>
                <w:color w:val="auto"/>
                <w:sz w:val="18"/>
                <w:szCs w:val="18"/>
              </w:rPr>
            </w:pPr>
          </w:p>
        </w:tc>
        <w:tc>
          <w:tcPr>
            <w:tcW w:w="1295" w:type="dxa"/>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服务对象满意度</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98%</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98%</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56" w:type="dxa"/>
            <w:vMerge w:val="continue"/>
            <w:vAlign w:val="center"/>
          </w:tcPr>
          <w:p>
            <w:pPr>
              <w:spacing w:line="260" w:lineRule="exact"/>
              <w:jc w:val="left"/>
              <w:rPr>
                <w:rFonts w:hint="eastAsia" w:ascii="仿宋" w:hAnsi="仿宋" w:eastAsia="仿宋" w:cs="仿宋"/>
                <w:color w:val="auto"/>
                <w:sz w:val="18"/>
                <w:szCs w:val="18"/>
              </w:rPr>
            </w:pPr>
          </w:p>
        </w:tc>
        <w:tc>
          <w:tcPr>
            <w:tcW w:w="1125" w:type="dxa"/>
            <w:vMerge w:val="continue"/>
            <w:vAlign w:val="center"/>
          </w:tcPr>
          <w:p>
            <w:pPr>
              <w:spacing w:line="260" w:lineRule="exact"/>
              <w:jc w:val="left"/>
              <w:rPr>
                <w:rFonts w:hint="eastAsia" w:ascii="仿宋" w:hAnsi="仿宋" w:eastAsia="仿宋" w:cs="仿宋"/>
                <w:color w:val="auto"/>
                <w:sz w:val="18"/>
                <w:szCs w:val="18"/>
              </w:rPr>
            </w:pPr>
          </w:p>
        </w:tc>
        <w:tc>
          <w:tcPr>
            <w:tcW w:w="1074" w:type="dxa"/>
            <w:vMerge w:val="continue"/>
            <w:vAlign w:val="center"/>
          </w:tcPr>
          <w:p>
            <w:pPr>
              <w:spacing w:line="260" w:lineRule="exact"/>
              <w:jc w:val="left"/>
              <w:rPr>
                <w:rFonts w:hint="eastAsia" w:ascii="仿宋" w:hAnsi="仿宋" w:eastAsia="仿宋" w:cs="仿宋"/>
                <w:color w:val="auto"/>
                <w:sz w:val="18"/>
                <w:szCs w:val="18"/>
              </w:rPr>
            </w:pPr>
          </w:p>
        </w:tc>
        <w:tc>
          <w:tcPr>
            <w:tcW w:w="1295" w:type="dxa"/>
            <w:vAlign w:val="center"/>
          </w:tcPr>
          <w:p>
            <w:pPr>
              <w:widowControl/>
              <w:jc w:val="center"/>
              <w:textAlignment w:val="center"/>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社会公众满意度</w:t>
            </w:r>
          </w:p>
        </w:tc>
        <w:tc>
          <w:tcPr>
            <w:tcW w:w="1171"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98%</w:t>
            </w:r>
          </w:p>
        </w:tc>
        <w:tc>
          <w:tcPr>
            <w:tcW w:w="1648" w:type="dxa"/>
            <w:gridSpan w:val="2"/>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98%</w:t>
            </w:r>
          </w:p>
        </w:tc>
        <w:tc>
          <w:tcPr>
            <w:tcW w:w="606"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4</w:t>
            </w:r>
          </w:p>
        </w:tc>
        <w:tc>
          <w:tcPr>
            <w:tcW w:w="857"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4</w:t>
            </w:r>
          </w:p>
        </w:tc>
        <w:tc>
          <w:tcPr>
            <w:tcW w:w="1153" w:type="dxa"/>
            <w:vAlign w:val="center"/>
          </w:tcPr>
          <w:p>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269" w:type="dxa"/>
            <w:gridSpan w:val="8"/>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总分</w:t>
            </w:r>
          </w:p>
        </w:tc>
        <w:tc>
          <w:tcPr>
            <w:tcW w:w="606" w:type="dxa"/>
            <w:vAlign w:val="center"/>
          </w:tcPr>
          <w:p>
            <w:pPr>
              <w:spacing w:line="26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100</w:t>
            </w:r>
          </w:p>
        </w:tc>
        <w:tc>
          <w:tcPr>
            <w:tcW w:w="857" w:type="dxa"/>
            <w:vAlign w:val="center"/>
          </w:tcPr>
          <w:p>
            <w:pPr>
              <w:spacing w:line="26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98</w:t>
            </w:r>
          </w:p>
        </w:tc>
        <w:tc>
          <w:tcPr>
            <w:tcW w:w="1153" w:type="dxa"/>
            <w:vAlign w:val="center"/>
          </w:tcPr>
          <w:p>
            <w:pPr>
              <w:spacing w:line="260" w:lineRule="exact"/>
              <w:jc w:val="left"/>
              <w:rPr>
                <w:rFonts w:hint="eastAsia" w:ascii="仿宋" w:hAnsi="仿宋" w:eastAsia="仿宋" w:cs="仿宋"/>
                <w:color w:val="auto"/>
                <w:sz w:val="18"/>
                <w:szCs w:val="18"/>
              </w:rPr>
            </w:pPr>
            <w:r>
              <w:rPr>
                <w:rFonts w:hint="eastAsia" w:ascii="仿宋" w:hAnsi="仿宋" w:eastAsia="仿宋" w:cs="仿宋"/>
                <w:color w:val="auto"/>
                <w:sz w:val="18"/>
                <w:szCs w:val="18"/>
              </w:rPr>
              <w:t>　</w:t>
            </w:r>
          </w:p>
        </w:tc>
      </w:tr>
    </w:tbl>
    <w:p>
      <w:pPr>
        <w:spacing w:before="156" w:beforeLines="50"/>
        <w:ind w:left="-197" w:leftChars="-94" w:firstLine="197" w:firstLineChars="94"/>
        <w:jc w:val="left"/>
        <w:rPr>
          <w:rFonts w:eastAsia="黑体"/>
          <w:sz w:val="24"/>
        </w:rPr>
      </w:pPr>
      <w:r>
        <w:rPr>
          <w:rFonts w:hint="eastAsia" w:ascii="仿宋" w:hAnsi="仿宋" w:eastAsia="仿宋" w:cs="仿宋"/>
          <w:szCs w:val="21"/>
        </w:rPr>
        <w:t>单位负责人签字：          填表人：</w:t>
      </w:r>
      <w:r>
        <w:rPr>
          <w:rFonts w:hint="eastAsia" w:ascii="仿宋" w:hAnsi="仿宋" w:eastAsia="仿宋" w:cs="仿宋"/>
          <w:szCs w:val="21"/>
          <w:lang w:val="en-US" w:eastAsia="zh-CN"/>
        </w:rPr>
        <w:t>刘龙</w:t>
      </w:r>
      <w:r>
        <w:rPr>
          <w:rFonts w:hint="eastAsia" w:ascii="仿宋" w:hAnsi="仿宋" w:eastAsia="仿宋" w:cs="仿宋"/>
          <w:szCs w:val="21"/>
        </w:rPr>
        <w:t xml:space="preserve">   联系电话：</w:t>
      </w:r>
      <w:r>
        <w:rPr>
          <w:rFonts w:hint="eastAsia" w:ascii="仿宋" w:hAnsi="仿宋" w:eastAsia="仿宋" w:cs="仿宋"/>
          <w:szCs w:val="21"/>
          <w:lang w:val="en-US" w:eastAsia="zh-CN"/>
        </w:rPr>
        <w:t>18074345378</w:t>
      </w:r>
      <w:r>
        <w:rPr>
          <w:rFonts w:hint="eastAsia" w:ascii="仿宋" w:hAnsi="仿宋" w:eastAsia="仿宋" w:cs="仿宋"/>
          <w:szCs w:val="21"/>
        </w:rPr>
        <w:t xml:space="preserve">  填报日期：2021年</w:t>
      </w:r>
      <w:r>
        <w:rPr>
          <w:rFonts w:hint="eastAsia" w:ascii="仿宋" w:hAnsi="仿宋" w:eastAsia="仿宋" w:cs="仿宋"/>
          <w:szCs w:val="21"/>
          <w:lang w:val="en-US" w:eastAsia="zh-CN"/>
        </w:rPr>
        <w:t>6</w:t>
      </w:r>
      <w:r>
        <w:rPr>
          <w:rFonts w:hint="eastAsia" w:ascii="仿宋" w:hAnsi="仿宋" w:eastAsia="仿宋" w:cs="仿宋"/>
          <w:szCs w:val="21"/>
        </w:rPr>
        <w:t>月</w:t>
      </w:r>
      <w:r>
        <w:rPr>
          <w:rFonts w:hint="eastAsia" w:ascii="仿宋" w:hAnsi="仿宋" w:eastAsia="仿宋" w:cs="仿宋"/>
          <w:szCs w:val="21"/>
          <w:lang w:val="en-US" w:eastAsia="zh-CN"/>
        </w:rPr>
        <w:t>18</w:t>
      </w:r>
      <w:r>
        <w:rPr>
          <w:rFonts w:hint="eastAsia" w:ascii="仿宋" w:hAnsi="仿宋" w:eastAsia="仿宋" w:cs="仿宋"/>
          <w:szCs w:val="21"/>
        </w:rPr>
        <w:t>日</w:t>
      </w:r>
    </w:p>
    <w:p>
      <w:pPr>
        <w:spacing w:line="400" w:lineRule="exact"/>
        <w:jc w:val="left"/>
        <w:rPr>
          <w:rFonts w:eastAsia="黑体"/>
          <w:sz w:val="24"/>
        </w:rPr>
      </w:pPr>
    </w:p>
    <w:p>
      <w:pPr>
        <w:spacing w:line="400" w:lineRule="exact"/>
        <w:jc w:val="left"/>
        <w:rPr>
          <w:rFonts w:eastAsia="黑体"/>
          <w:sz w:val="30"/>
          <w:szCs w:val="30"/>
        </w:rPr>
      </w:pPr>
    </w:p>
    <w:p>
      <w:pPr>
        <w:spacing w:line="400" w:lineRule="exact"/>
        <w:jc w:val="left"/>
        <w:rPr>
          <w:rFonts w:eastAsia="黑体"/>
          <w:sz w:val="30"/>
          <w:szCs w:val="30"/>
        </w:rPr>
      </w:pPr>
    </w:p>
    <w:p>
      <w:pPr>
        <w:spacing w:line="400" w:lineRule="exact"/>
        <w:jc w:val="left"/>
        <w:rPr>
          <w:rFonts w:eastAsia="黑体"/>
          <w:sz w:val="30"/>
          <w:szCs w:val="30"/>
        </w:rPr>
      </w:pPr>
    </w:p>
    <w:p>
      <w:pPr>
        <w:spacing w:line="400" w:lineRule="exact"/>
        <w:jc w:val="left"/>
        <w:rPr>
          <w:rFonts w:eastAsia="黑体"/>
          <w:sz w:val="30"/>
          <w:szCs w:val="30"/>
        </w:rPr>
      </w:pPr>
    </w:p>
    <w:p>
      <w:pPr>
        <w:spacing w:line="400" w:lineRule="exact"/>
        <w:jc w:val="left"/>
        <w:rPr>
          <w:rFonts w:eastAsia="黑体"/>
          <w:sz w:val="30"/>
          <w:szCs w:val="30"/>
        </w:rPr>
      </w:pPr>
    </w:p>
    <w:p>
      <w:pPr>
        <w:spacing w:line="400" w:lineRule="exact"/>
        <w:jc w:val="left"/>
        <w:rPr>
          <w:rFonts w:eastAsia="黑体"/>
          <w:sz w:val="30"/>
          <w:szCs w:val="30"/>
        </w:rPr>
      </w:pPr>
    </w:p>
    <w:p>
      <w:pPr>
        <w:spacing w:line="400" w:lineRule="exact"/>
        <w:jc w:val="left"/>
        <w:rPr>
          <w:rFonts w:eastAsia="黑体"/>
          <w:sz w:val="30"/>
          <w:szCs w:val="30"/>
        </w:rPr>
      </w:pPr>
    </w:p>
    <w:p>
      <w:pPr>
        <w:spacing w:line="400" w:lineRule="exact"/>
        <w:jc w:val="left"/>
        <w:rPr>
          <w:rFonts w:eastAsia="黑体"/>
          <w:sz w:val="30"/>
          <w:szCs w:val="30"/>
        </w:rPr>
      </w:pPr>
    </w:p>
    <w:p>
      <w:pPr>
        <w:spacing w:line="400" w:lineRule="exact"/>
        <w:jc w:val="left"/>
        <w:rPr>
          <w:rFonts w:eastAsia="黑体"/>
          <w:sz w:val="30"/>
          <w:szCs w:val="30"/>
        </w:rPr>
      </w:pPr>
    </w:p>
    <w:p>
      <w:pPr>
        <w:spacing w:line="400" w:lineRule="exact"/>
        <w:jc w:val="left"/>
        <w:rPr>
          <w:rFonts w:eastAsia="黑体"/>
          <w:sz w:val="30"/>
          <w:szCs w:val="30"/>
        </w:rPr>
      </w:pPr>
      <w:r>
        <w:rPr>
          <w:rFonts w:hint="eastAsia" w:eastAsia="黑体"/>
          <w:sz w:val="30"/>
          <w:szCs w:val="30"/>
        </w:rPr>
        <w:t>附件</w:t>
      </w:r>
      <w:r>
        <w:rPr>
          <w:rFonts w:hint="eastAsia" w:eastAsia="黑体"/>
          <w:sz w:val="30"/>
          <w:szCs w:val="30"/>
          <w:lang w:val="en-US" w:eastAsia="zh-CN"/>
        </w:rPr>
        <w:t>3</w:t>
      </w:r>
      <w:r>
        <w:rPr>
          <w:rFonts w:hint="eastAsia" w:eastAsia="黑体"/>
          <w:sz w:val="30"/>
          <w:szCs w:val="30"/>
        </w:rPr>
        <w:t>：</w:t>
      </w:r>
    </w:p>
    <w:p>
      <w:pPr>
        <w:spacing w:line="400" w:lineRule="exact"/>
        <w:jc w:val="center"/>
        <w:rPr>
          <w:rFonts w:ascii="方正小标宋简体" w:hAnsi="方正小标宋简体" w:eastAsia="方正小标宋简体" w:cs="方正小标宋简体"/>
          <w:color w:val="000000"/>
          <w:sz w:val="30"/>
          <w:szCs w:val="30"/>
        </w:rPr>
      </w:pPr>
      <w:r>
        <w:rPr>
          <w:rFonts w:hint="eastAsia" w:eastAsia="方正小标宋简体" w:cs="方正小标宋简体"/>
          <w:sz w:val="30"/>
          <w:szCs w:val="30"/>
        </w:rPr>
        <w:t>州级预算</w:t>
      </w:r>
      <w:r>
        <w:rPr>
          <w:rFonts w:hint="eastAsia" w:ascii="方正小标宋简体" w:hAnsi="方正小标宋简体" w:eastAsia="方正小标宋简体" w:cs="方正小标宋简体"/>
          <w:color w:val="000000"/>
          <w:sz w:val="30"/>
          <w:szCs w:val="30"/>
        </w:rPr>
        <w:t>部门政府性基金预算支出绩效自评表</w:t>
      </w:r>
    </w:p>
    <w:p>
      <w:pPr>
        <w:spacing w:line="400" w:lineRule="exact"/>
        <w:jc w:val="center"/>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t xml:space="preserve">（ </w:t>
      </w:r>
      <w:r>
        <w:rPr>
          <w:rFonts w:ascii="楷体_GB2312" w:hAnsi="楷体_GB2312" w:eastAsia="楷体_GB2312" w:cs="楷体_GB2312"/>
          <w:color w:val="000000"/>
          <w:sz w:val="30"/>
          <w:szCs w:val="30"/>
        </w:rPr>
        <w:t>2020</w:t>
      </w:r>
      <w:r>
        <w:rPr>
          <w:rFonts w:hint="eastAsia" w:ascii="楷体_GB2312" w:hAnsi="楷体_GB2312" w:eastAsia="楷体_GB2312" w:cs="楷体_GB2312"/>
          <w:color w:val="000000"/>
          <w:sz w:val="30"/>
          <w:szCs w:val="30"/>
        </w:rPr>
        <w:t>年度）</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081"/>
        <w:gridCol w:w="1199"/>
        <w:gridCol w:w="1240"/>
        <w:gridCol w:w="1002"/>
        <w:gridCol w:w="1037"/>
        <w:gridCol w:w="927"/>
        <w:gridCol w:w="874"/>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8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政府性基金预算支出名称</w:t>
            </w:r>
          </w:p>
        </w:tc>
        <w:tc>
          <w:tcPr>
            <w:tcW w:w="8779" w:type="dxa"/>
            <w:gridSpan w:val="8"/>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18"/>
                <w:szCs w:val="18"/>
              </w:rPr>
            </w:pPr>
            <w:r>
              <w:rPr>
                <w:rFonts w:hint="eastAsia" w:ascii="仿宋" w:hAnsi="仿宋" w:eastAsia="仿宋" w:cs="仿宋"/>
                <w:color w:val="000000"/>
                <w:sz w:val="18"/>
                <w:szCs w:val="18"/>
              </w:rPr>
              <w:t>城乡社区支出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主管</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部门</w:t>
            </w:r>
          </w:p>
        </w:tc>
        <w:tc>
          <w:tcPr>
            <w:tcW w:w="3520" w:type="dxa"/>
            <w:gridSpan w:val="3"/>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rPr>
              <w:t>湘西州人民政府</w:t>
            </w:r>
          </w:p>
        </w:tc>
        <w:tc>
          <w:tcPr>
            <w:tcW w:w="100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实施</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单位</w:t>
            </w:r>
          </w:p>
        </w:tc>
        <w:tc>
          <w:tcPr>
            <w:tcW w:w="4257" w:type="dxa"/>
            <w:gridSpan w:val="4"/>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湘西自治州发展和改革委员会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81"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项目资金</w:t>
            </w:r>
            <w:r>
              <w:rPr>
                <w:rFonts w:hint="eastAsia" w:ascii="仿宋" w:hAnsi="仿宋" w:eastAsia="仿宋" w:cs="仿宋"/>
                <w:color w:val="000000"/>
                <w:sz w:val="18"/>
                <w:szCs w:val="18"/>
              </w:rPr>
              <w:br w:type="textWrapping"/>
            </w:r>
            <w:r>
              <w:rPr>
                <w:rFonts w:hint="eastAsia" w:ascii="仿宋" w:hAnsi="仿宋" w:eastAsia="仿宋" w:cs="仿宋"/>
                <w:color w:val="000000"/>
                <w:sz w:val="18"/>
                <w:szCs w:val="18"/>
              </w:rPr>
              <w:t>（万元）</w:t>
            </w:r>
          </w:p>
        </w:tc>
        <w:tc>
          <w:tcPr>
            <w:tcW w:w="2280" w:type="dxa"/>
            <w:gridSpan w:val="2"/>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c>
          <w:tcPr>
            <w:tcW w:w="124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年初</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预算数</w:t>
            </w:r>
          </w:p>
        </w:tc>
        <w:tc>
          <w:tcPr>
            <w:tcW w:w="1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全年</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预算数</w:t>
            </w:r>
          </w:p>
        </w:tc>
        <w:tc>
          <w:tcPr>
            <w:tcW w:w="103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全年</w:t>
            </w:r>
          </w:p>
          <w:p>
            <w:pPr>
              <w:jc w:val="center"/>
              <w:rPr>
                <w:rFonts w:hint="eastAsia" w:ascii="仿宋" w:hAnsi="仿宋" w:eastAsia="仿宋" w:cs="仿宋"/>
                <w:sz w:val="18"/>
                <w:szCs w:val="18"/>
              </w:rPr>
            </w:pPr>
            <w:r>
              <w:rPr>
                <w:rFonts w:hint="eastAsia" w:ascii="仿宋" w:hAnsi="仿宋" w:eastAsia="仿宋" w:cs="仿宋"/>
                <w:sz w:val="18"/>
                <w:szCs w:val="18"/>
              </w:rPr>
              <w:t>执行数</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分值</w:t>
            </w:r>
          </w:p>
        </w:tc>
        <w:tc>
          <w:tcPr>
            <w:tcW w:w="87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执行率</w:t>
            </w:r>
          </w:p>
        </w:tc>
        <w:tc>
          <w:tcPr>
            <w:tcW w:w="1419"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2280" w:type="dxa"/>
            <w:gridSpan w:val="2"/>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年度资金总额 </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0</w:t>
            </w:r>
          </w:p>
        </w:tc>
        <w:tc>
          <w:tcPr>
            <w:tcW w:w="1002"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193.60</w:t>
            </w:r>
          </w:p>
        </w:tc>
        <w:tc>
          <w:tcPr>
            <w:tcW w:w="103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193.60</w:t>
            </w:r>
          </w:p>
        </w:tc>
        <w:tc>
          <w:tcPr>
            <w:tcW w:w="92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10</w:t>
            </w:r>
          </w:p>
        </w:tc>
        <w:tc>
          <w:tcPr>
            <w:tcW w:w="874"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100</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2280" w:type="dxa"/>
            <w:gridSpan w:val="2"/>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其中：当年财政拨款 </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w:t>
            </w:r>
          </w:p>
        </w:tc>
        <w:tc>
          <w:tcPr>
            <w:tcW w:w="1002"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193.60</w:t>
            </w:r>
          </w:p>
        </w:tc>
        <w:tc>
          <w:tcPr>
            <w:tcW w:w="103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193.60</w:t>
            </w:r>
          </w:p>
        </w:tc>
        <w:tc>
          <w:tcPr>
            <w:tcW w:w="92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874"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2280" w:type="dxa"/>
            <w:gridSpan w:val="2"/>
            <w:tcBorders>
              <w:top w:val="single" w:color="auto" w:sz="4" w:space="0"/>
              <w:left w:val="nil"/>
              <w:bottom w:val="single" w:color="auto" w:sz="4" w:space="0"/>
              <w:right w:val="single" w:color="auto" w:sz="4" w:space="0"/>
            </w:tcBorders>
            <w:vAlign w:val="center"/>
          </w:tcPr>
          <w:p>
            <w:pPr>
              <w:ind w:firstLine="360" w:firstLineChars="200"/>
              <w:jc w:val="left"/>
              <w:rPr>
                <w:rFonts w:hint="eastAsia" w:ascii="仿宋" w:hAnsi="仿宋" w:eastAsia="仿宋" w:cs="仿宋"/>
                <w:color w:val="000000"/>
                <w:sz w:val="18"/>
                <w:szCs w:val="18"/>
              </w:rPr>
            </w:pPr>
            <w:r>
              <w:rPr>
                <w:rFonts w:hint="eastAsia" w:ascii="仿宋" w:hAnsi="仿宋" w:eastAsia="仿宋" w:cs="仿宋"/>
                <w:color w:val="000000"/>
                <w:sz w:val="18"/>
                <w:szCs w:val="18"/>
              </w:rPr>
              <w:t>上年结转资金</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c>
          <w:tcPr>
            <w:tcW w:w="1002"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0</w:t>
            </w:r>
          </w:p>
        </w:tc>
        <w:tc>
          <w:tcPr>
            <w:tcW w:w="103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0</w:t>
            </w:r>
          </w:p>
        </w:tc>
        <w:tc>
          <w:tcPr>
            <w:tcW w:w="92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874"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2280" w:type="dxa"/>
            <w:gridSpan w:val="2"/>
            <w:tcBorders>
              <w:top w:val="single" w:color="auto" w:sz="4" w:space="0"/>
              <w:left w:val="nil"/>
              <w:bottom w:val="single" w:color="auto" w:sz="4" w:space="0"/>
              <w:right w:val="single" w:color="auto" w:sz="4" w:space="0"/>
            </w:tcBorders>
            <w:vAlign w:val="center"/>
          </w:tcPr>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sz w:val="18"/>
                <w:szCs w:val="18"/>
              </w:rPr>
              <w:t>其他资金</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c>
          <w:tcPr>
            <w:tcW w:w="1002"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c>
          <w:tcPr>
            <w:tcW w:w="103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c>
          <w:tcPr>
            <w:tcW w:w="92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874"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年度总体目标</w:t>
            </w:r>
          </w:p>
        </w:tc>
        <w:tc>
          <w:tcPr>
            <w:tcW w:w="4522" w:type="dxa"/>
            <w:gridSpan w:val="4"/>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预期目标</w:t>
            </w:r>
          </w:p>
        </w:tc>
        <w:tc>
          <w:tcPr>
            <w:tcW w:w="4257" w:type="dxa"/>
            <w:gridSpan w:val="4"/>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实际完成情况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4522" w:type="dxa"/>
            <w:gridSpan w:val="4"/>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其他城市基础设施配套费安排的支出</w:t>
            </w:r>
          </w:p>
        </w:tc>
        <w:tc>
          <w:tcPr>
            <w:tcW w:w="4257" w:type="dxa"/>
            <w:gridSpan w:val="4"/>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bookmarkStart w:id="21" w:name="_Hlk74937846"/>
            <w:r>
              <w:rPr>
                <w:rFonts w:hint="eastAsia" w:ascii="仿宋" w:hAnsi="仿宋" w:eastAsia="仿宋" w:cs="仿宋"/>
                <w:color w:val="000000"/>
                <w:sz w:val="18"/>
                <w:szCs w:val="18"/>
              </w:rPr>
              <w:t>印刷费0.72万元、咨询费192.6万元、差旅费0.01。万元、公务接待费0.22万元、其他商品和服务支出0.05万元</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81"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绩</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效</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指</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标</w:t>
            </w:r>
          </w:p>
        </w:tc>
        <w:tc>
          <w:tcPr>
            <w:tcW w:w="1081"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一级指标</w:t>
            </w:r>
          </w:p>
        </w:tc>
        <w:tc>
          <w:tcPr>
            <w:tcW w:w="1199"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二级指标</w:t>
            </w:r>
          </w:p>
        </w:tc>
        <w:tc>
          <w:tcPr>
            <w:tcW w:w="1240"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三级指标</w:t>
            </w:r>
          </w:p>
        </w:tc>
        <w:tc>
          <w:tcPr>
            <w:tcW w:w="1002"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年度</w:t>
            </w:r>
          </w:p>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指标值</w:t>
            </w:r>
          </w:p>
        </w:tc>
        <w:tc>
          <w:tcPr>
            <w:tcW w:w="1037"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实际</w:t>
            </w:r>
          </w:p>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完成值</w:t>
            </w:r>
          </w:p>
        </w:tc>
        <w:tc>
          <w:tcPr>
            <w:tcW w:w="927"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分值</w:t>
            </w:r>
          </w:p>
        </w:tc>
        <w:tc>
          <w:tcPr>
            <w:tcW w:w="874"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得分</w:t>
            </w:r>
          </w:p>
        </w:tc>
        <w:tc>
          <w:tcPr>
            <w:tcW w:w="1419"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偏差原因</w:t>
            </w:r>
          </w:p>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分析及</w:t>
            </w:r>
          </w:p>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081" w:type="dxa"/>
            <w:vMerge w:val="restart"/>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产出指标</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(50分)</w:t>
            </w:r>
          </w:p>
        </w:tc>
        <w:tc>
          <w:tcPr>
            <w:tcW w:w="1199"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数量指标</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资金使用率</w:t>
            </w:r>
          </w:p>
        </w:tc>
        <w:tc>
          <w:tcPr>
            <w:tcW w:w="1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100%</w:t>
            </w:r>
          </w:p>
        </w:tc>
        <w:tc>
          <w:tcPr>
            <w:tcW w:w="103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100%</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15</w:t>
            </w:r>
          </w:p>
        </w:tc>
        <w:tc>
          <w:tcPr>
            <w:tcW w:w="87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15</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081"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199"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质量指标</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资金到位率</w:t>
            </w:r>
          </w:p>
        </w:tc>
        <w:tc>
          <w:tcPr>
            <w:tcW w:w="1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100%</w:t>
            </w:r>
          </w:p>
        </w:tc>
        <w:tc>
          <w:tcPr>
            <w:tcW w:w="103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100%</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13</w:t>
            </w:r>
          </w:p>
        </w:tc>
        <w:tc>
          <w:tcPr>
            <w:tcW w:w="87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13</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081"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199"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时效指标</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kern w:val="0"/>
                <w:sz w:val="18"/>
                <w:szCs w:val="18"/>
              </w:rPr>
              <w:t>重点支出安排率</w:t>
            </w:r>
          </w:p>
        </w:tc>
        <w:tc>
          <w:tcPr>
            <w:tcW w:w="1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100%</w:t>
            </w:r>
          </w:p>
        </w:tc>
        <w:tc>
          <w:tcPr>
            <w:tcW w:w="103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100%</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12</w:t>
            </w:r>
          </w:p>
        </w:tc>
        <w:tc>
          <w:tcPr>
            <w:tcW w:w="87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12</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081"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199"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成本指标</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费用使用率</w:t>
            </w:r>
          </w:p>
        </w:tc>
        <w:tc>
          <w:tcPr>
            <w:tcW w:w="1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100%</w:t>
            </w:r>
          </w:p>
        </w:tc>
        <w:tc>
          <w:tcPr>
            <w:tcW w:w="103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100%</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w:t>
            </w:r>
          </w:p>
        </w:tc>
        <w:tc>
          <w:tcPr>
            <w:tcW w:w="87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9</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081" w:type="dxa"/>
            <w:vMerge w:val="restart"/>
            <w:tcBorders>
              <w:top w:val="nil"/>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效益指标</w:t>
            </w:r>
          </w:p>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（30分）</w:t>
            </w:r>
          </w:p>
        </w:tc>
        <w:tc>
          <w:tcPr>
            <w:tcW w:w="1199"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经济效</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益指标</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kern w:val="0"/>
                <w:sz w:val="18"/>
                <w:szCs w:val="18"/>
              </w:rPr>
              <w:t>严控经费，从紧控制</w:t>
            </w:r>
          </w:p>
        </w:tc>
        <w:tc>
          <w:tcPr>
            <w:tcW w:w="1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下降</w:t>
            </w:r>
          </w:p>
        </w:tc>
        <w:tc>
          <w:tcPr>
            <w:tcW w:w="103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kern w:val="0"/>
                <w:sz w:val="18"/>
                <w:szCs w:val="18"/>
              </w:rPr>
              <w:t>逐步下降</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8</w:t>
            </w:r>
          </w:p>
        </w:tc>
        <w:tc>
          <w:tcPr>
            <w:tcW w:w="87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8</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081"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199"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社会效</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益指标</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kern w:val="0"/>
                <w:sz w:val="18"/>
                <w:szCs w:val="18"/>
              </w:rPr>
              <w:t>工作质量不断提升</w:t>
            </w:r>
          </w:p>
        </w:tc>
        <w:tc>
          <w:tcPr>
            <w:tcW w:w="1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达标</w:t>
            </w:r>
          </w:p>
        </w:tc>
        <w:tc>
          <w:tcPr>
            <w:tcW w:w="103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达标</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9</w:t>
            </w:r>
          </w:p>
        </w:tc>
        <w:tc>
          <w:tcPr>
            <w:tcW w:w="87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9</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081"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199"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生态效</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益指标</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kern w:val="0"/>
                <w:sz w:val="18"/>
                <w:szCs w:val="18"/>
              </w:rPr>
              <w:t>倡导生态平衡发展</w:t>
            </w:r>
          </w:p>
        </w:tc>
        <w:tc>
          <w:tcPr>
            <w:tcW w:w="1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达标</w:t>
            </w:r>
          </w:p>
        </w:tc>
        <w:tc>
          <w:tcPr>
            <w:tcW w:w="103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达标</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7</w:t>
            </w:r>
          </w:p>
        </w:tc>
        <w:tc>
          <w:tcPr>
            <w:tcW w:w="87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7</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081"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199"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可持续影响指标</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kern w:val="0"/>
                <w:sz w:val="18"/>
                <w:szCs w:val="18"/>
              </w:rPr>
              <w:t>重大项目建设推进有力</w:t>
            </w:r>
          </w:p>
        </w:tc>
        <w:tc>
          <w:tcPr>
            <w:tcW w:w="1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98%</w:t>
            </w:r>
          </w:p>
        </w:tc>
        <w:tc>
          <w:tcPr>
            <w:tcW w:w="103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98</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6</w:t>
            </w:r>
          </w:p>
        </w:tc>
        <w:tc>
          <w:tcPr>
            <w:tcW w:w="87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6</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sz w:val="18"/>
                <w:szCs w:val="18"/>
              </w:rPr>
            </w:pPr>
          </w:p>
        </w:tc>
        <w:tc>
          <w:tcPr>
            <w:tcW w:w="1081"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满意度</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指标</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（10分）</w:t>
            </w:r>
          </w:p>
        </w:tc>
        <w:tc>
          <w:tcPr>
            <w:tcW w:w="1199"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服务对象满意度指标</w:t>
            </w:r>
          </w:p>
        </w:tc>
        <w:tc>
          <w:tcPr>
            <w:tcW w:w="1240"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kern w:val="0"/>
                <w:sz w:val="18"/>
                <w:szCs w:val="18"/>
              </w:rPr>
              <w:t>服务对象满意度</w:t>
            </w:r>
          </w:p>
        </w:tc>
        <w:tc>
          <w:tcPr>
            <w:tcW w:w="1002"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98%</w:t>
            </w:r>
          </w:p>
        </w:tc>
        <w:tc>
          <w:tcPr>
            <w:tcW w:w="103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98%</w:t>
            </w:r>
          </w:p>
        </w:tc>
        <w:tc>
          <w:tcPr>
            <w:tcW w:w="92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10</w:t>
            </w:r>
          </w:p>
        </w:tc>
        <w:tc>
          <w:tcPr>
            <w:tcW w:w="874"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10</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640"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总分</w:t>
            </w:r>
          </w:p>
        </w:tc>
        <w:tc>
          <w:tcPr>
            <w:tcW w:w="92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100</w:t>
            </w:r>
          </w:p>
        </w:tc>
        <w:tc>
          <w:tcPr>
            <w:tcW w:w="874"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99</w:t>
            </w:r>
          </w:p>
        </w:tc>
        <w:tc>
          <w:tcPr>
            <w:tcW w:w="1419"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　</w:t>
            </w:r>
          </w:p>
        </w:tc>
      </w:tr>
    </w:tbl>
    <w:p>
      <w:pPr>
        <w:spacing w:before="156" w:beforeLines="50"/>
        <w:jc w:val="left"/>
        <w:rPr>
          <w:rFonts w:eastAsia="仿宋_GB2312"/>
          <w:szCs w:val="21"/>
        </w:rPr>
      </w:pPr>
      <w:r>
        <w:rPr>
          <w:rFonts w:hint="eastAsia" w:eastAsia="仿宋_GB2312"/>
          <w:szCs w:val="21"/>
        </w:rPr>
        <w:t>说明：每个一级政府性基金预算支出填写一张政府性基金预算支出绩效自评表。</w:t>
      </w:r>
    </w:p>
    <w:p>
      <w:pPr>
        <w:spacing w:before="156" w:beforeLines="50"/>
        <w:jc w:val="left"/>
        <w:rPr>
          <w:rFonts w:hint="eastAsia" w:eastAsia="仿宋_GB2312"/>
          <w:szCs w:val="21"/>
        </w:rPr>
      </w:pPr>
      <w:r>
        <w:rPr>
          <w:rFonts w:hint="eastAsia" w:eastAsia="仿宋_GB2312"/>
          <w:szCs w:val="21"/>
        </w:rPr>
        <w:t>单位负责人签字：      填表人：</w:t>
      </w:r>
      <w:r>
        <w:rPr>
          <w:rFonts w:hint="eastAsia" w:eastAsia="仿宋_GB2312"/>
          <w:szCs w:val="21"/>
          <w:lang w:val="en-US" w:eastAsia="zh-CN"/>
        </w:rPr>
        <w:t>刘龙</w:t>
      </w:r>
      <w:r>
        <w:rPr>
          <w:rFonts w:hint="eastAsia" w:eastAsia="仿宋_GB2312"/>
          <w:szCs w:val="21"/>
        </w:rPr>
        <w:t xml:space="preserve">     联系电话：</w:t>
      </w:r>
      <w:r>
        <w:rPr>
          <w:rFonts w:hint="eastAsia" w:eastAsia="仿宋_GB2312"/>
          <w:szCs w:val="21"/>
          <w:lang w:val="en-US" w:eastAsia="zh-CN"/>
        </w:rPr>
        <w:t>18074345378</w:t>
      </w:r>
      <w:r>
        <w:rPr>
          <w:rFonts w:hint="eastAsia" w:eastAsia="仿宋_GB2312"/>
          <w:szCs w:val="21"/>
        </w:rPr>
        <w:t xml:space="preserve"> 填报日期：2021年6月</w:t>
      </w:r>
      <w:r>
        <w:rPr>
          <w:rFonts w:hint="eastAsia" w:eastAsia="仿宋_GB2312"/>
          <w:szCs w:val="21"/>
          <w:lang w:val="en-US" w:eastAsia="zh-CN"/>
        </w:rPr>
        <w:t>18</w:t>
      </w:r>
      <w:r>
        <w:rPr>
          <w:rFonts w:hint="eastAsia" w:eastAsia="仿宋_GB2312"/>
          <w:szCs w:val="21"/>
        </w:rPr>
        <w:t>日</w:t>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r>
        <w:drawing>
          <wp:inline distT="0" distB="0" distL="114300" distR="114300">
            <wp:extent cx="4838700" cy="7029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838700" cy="7029450"/>
                    </a:xfrm>
                    <a:prstGeom prst="rect">
                      <a:avLst/>
                    </a:prstGeom>
                    <a:noFill/>
                    <a:ln>
                      <a:noFill/>
                    </a:ln>
                  </pic:spPr>
                </pic:pic>
              </a:graphicData>
            </a:graphic>
          </wp:inline>
        </w:drawing>
      </w:r>
    </w:p>
    <w:p/>
    <w:p/>
    <w:p/>
    <w:p/>
    <w:p/>
    <w:p/>
    <w:p/>
    <w:p/>
    <w:p/>
    <w:p/>
    <w:p/>
    <w:p>
      <w:pPr>
        <w:rPr>
          <w:rFonts w:hint="eastAsia" w:eastAsia="宋体"/>
          <w:lang w:eastAsia="zh-CN"/>
        </w:rPr>
      </w:pPr>
      <w:r>
        <w:rPr>
          <w:rFonts w:hint="eastAsia" w:eastAsia="宋体"/>
          <w:lang w:eastAsia="zh-CN"/>
        </w:rPr>
        <w:drawing>
          <wp:inline distT="0" distB="0" distL="114300" distR="114300">
            <wp:extent cx="4772025" cy="6981825"/>
            <wp:effectExtent l="0" t="0" r="9525" b="9525"/>
            <wp:docPr id="2" name="图片 2" descr="1624850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4850106(1)"/>
                    <pic:cNvPicPr>
                      <a:picLocks noChangeAspect="1"/>
                    </pic:cNvPicPr>
                  </pic:nvPicPr>
                  <pic:blipFill>
                    <a:blip r:embed="rId6"/>
                    <a:stretch>
                      <a:fillRect/>
                    </a:stretch>
                  </pic:blipFill>
                  <pic:spPr>
                    <a:xfrm>
                      <a:off x="0" y="0"/>
                      <a:ext cx="4772025" cy="698182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4905375" cy="7000875"/>
            <wp:effectExtent l="0" t="0" r="9525" b="9525"/>
            <wp:docPr id="3" name="图片 3" descr="162485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4850134(1)"/>
                    <pic:cNvPicPr>
                      <a:picLocks noChangeAspect="1"/>
                    </pic:cNvPicPr>
                  </pic:nvPicPr>
                  <pic:blipFill>
                    <a:blip r:embed="rId7"/>
                    <a:stretch>
                      <a:fillRect/>
                    </a:stretch>
                  </pic:blipFill>
                  <pic:spPr>
                    <a:xfrm>
                      <a:off x="0" y="0"/>
                      <a:ext cx="4905375" cy="700087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4733925" cy="6953250"/>
            <wp:effectExtent l="0" t="0" r="9525" b="0"/>
            <wp:docPr id="4" name="图片 4" descr="1624850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4850159(1)"/>
                    <pic:cNvPicPr>
                      <a:picLocks noChangeAspect="1"/>
                    </pic:cNvPicPr>
                  </pic:nvPicPr>
                  <pic:blipFill>
                    <a:blip r:embed="rId8"/>
                    <a:stretch>
                      <a:fillRect/>
                    </a:stretch>
                  </pic:blipFill>
                  <pic:spPr>
                    <a:xfrm>
                      <a:off x="0" y="0"/>
                      <a:ext cx="4733925" cy="6953250"/>
                    </a:xfrm>
                    <a:prstGeom prst="rect">
                      <a:avLst/>
                    </a:prstGeom>
                  </pic:spPr>
                </pic:pic>
              </a:graphicData>
            </a:graphic>
          </wp:inline>
        </w:drawing>
      </w:r>
    </w:p>
    <w:sectPr>
      <w:pgSz w:w="11906" w:h="16838"/>
      <w:pgMar w:top="1440" w:right="866"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2010601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Text Box 1027" o:spid="_x0000_s4097" o:spt="202" type="#_x0000_t202" style="position:absolute;left:0pt;margin-top:0pt;height:20.85pt;width:25.2pt;mso-position-horizontal:center;mso-position-horizontal-relative:margin;z-index:251659264;mso-width-relative:page;mso-height-relative:page;" filled="f" stroked="f" coordsize="21600,21600" o:gfxdata="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5l7D0gAAAAMBAAAPAAAAAAAAAAEAIAAAACIAAABkcnMvZG93bnJldi54bWxQ&#10;SwECFAAUAAAACACHTuJAb8OTaf0BAAAGBAAADgAAAAAAAAABACAAAAAhAQAAZHJzL2Uyb0RvYy54&#10;bWxQSwUGAAAAAAYABgBZAQAAkAUAAAAA&#10;">
          <v:path/>
          <v:fill on="f" focussize="0,0"/>
          <v:stroke on="f" joinstyle="miter"/>
          <v:imagedata o:title=""/>
          <o:lock v:ext="edit"/>
          <v:textbox inset="0mm,0mm,0mm,0mm" style="mso-fit-shape-to-text:t;">
            <w:txbxContent>
              <w:p>
                <w:pPr>
                  <w:jc w:val="center"/>
                  <w:rPr>
                    <w:rFonts w:ascii="宋体" w:hAnsi="宋体"/>
                    <w:sz w:val="18"/>
                  </w:rPr>
                </w:pPr>
                <w:r>
                  <w:rPr>
                    <w:rFonts w:hint="eastAsia" w:ascii="宋体" w:hAnsi="宋体"/>
                    <w:sz w:val="18"/>
                  </w:rPr>
                  <w:fldChar w:fldCharType="begin"/>
                </w:r>
                <w:r>
                  <w:rPr>
                    <w:rFonts w:hint="eastAsia" w:ascii="宋体" w:hAnsi="宋体"/>
                    <w:sz w:val="18"/>
                  </w:rPr>
                  <w:instrText xml:space="preserve"> PAGE  \* MERGEFORMAT </w:instrText>
                </w:r>
                <w:r>
                  <w:rPr>
                    <w:rFonts w:hint="eastAsia" w:ascii="宋体" w:hAnsi="宋体"/>
                    <w:sz w:val="18"/>
                  </w:rPr>
                  <w:fldChar w:fldCharType="separate"/>
                </w:r>
                <w:r>
                  <w:rPr>
                    <w:rFonts w:ascii="宋体" w:hAnsi="宋体"/>
                    <w:sz w:val="18"/>
                  </w:rPr>
                  <w:t>18</w:t>
                </w:r>
                <w:r>
                  <w:rPr>
                    <w:rFonts w:hint="eastAsia" w:ascii="宋体" w:hAnsi="宋体"/>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96AF3"/>
    <w:multiLevelType w:val="singleLevel"/>
    <w:tmpl w:val="B1096AF3"/>
    <w:lvl w:ilvl="0" w:tentative="0">
      <w:start w:val="1"/>
      <w:numFmt w:val="decimal"/>
      <w:suff w:val="nothing"/>
      <w:lvlText w:val="（%1）"/>
      <w:lvlJc w:val="left"/>
      <w:rPr>
        <w:rFonts w:hint="default"/>
        <w:b w:val="0"/>
        <w:bCs w:val="0"/>
      </w:rPr>
    </w:lvl>
  </w:abstractNum>
  <w:abstractNum w:abstractNumId="1">
    <w:nsid w:val="E2E8EC3E"/>
    <w:multiLevelType w:val="singleLevel"/>
    <w:tmpl w:val="E2E8EC3E"/>
    <w:lvl w:ilvl="0" w:tentative="0">
      <w:start w:val="1"/>
      <w:numFmt w:val="decimal"/>
      <w:suff w:val="nothing"/>
      <w:lvlText w:val="（%1）"/>
      <w:lvlJc w:val="left"/>
    </w:lvl>
  </w:abstractNum>
  <w:abstractNum w:abstractNumId="2">
    <w:nsid w:val="7D09C302"/>
    <w:multiLevelType w:val="singleLevel"/>
    <w:tmpl w:val="7D09C302"/>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172A27"/>
    <w:rsid w:val="00002C0F"/>
    <w:rsid w:val="000056BF"/>
    <w:rsid w:val="000159A7"/>
    <w:rsid w:val="000231FA"/>
    <w:rsid w:val="000236AE"/>
    <w:rsid w:val="000266BD"/>
    <w:rsid w:val="00031431"/>
    <w:rsid w:val="000314DB"/>
    <w:rsid w:val="000319EC"/>
    <w:rsid w:val="000329F2"/>
    <w:rsid w:val="0003348D"/>
    <w:rsid w:val="000459EE"/>
    <w:rsid w:val="00052306"/>
    <w:rsid w:val="000720E0"/>
    <w:rsid w:val="00076B13"/>
    <w:rsid w:val="00082181"/>
    <w:rsid w:val="00086DD9"/>
    <w:rsid w:val="00090B72"/>
    <w:rsid w:val="000932BF"/>
    <w:rsid w:val="0009362D"/>
    <w:rsid w:val="000C3A21"/>
    <w:rsid w:val="000C40DD"/>
    <w:rsid w:val="000C436D"/>
    <w:rsid w:val="000C6492"/>
    <w:rsid w:val="000C7CC2"/>
    <w:rsid w:val="000D0675"/>
    <w:rsid w:val="000D3265"/>
    <w:rsid w:val="000D4FAE"/>
    <w:rsid w:val="000E0056"/>
    <w:rsid w:val="000F65FB"/>
    <w:rsid w:val="00101AF8"/>
    <w:rsid w:val="00107558"/>
    <w:rsid w:val="0012364C"/>
    <w:rsid w:val="00126E07"/>
    <w:rsid w:val="00136205"/>
    <w:rsid w:val="00165B7A"/>
    <w:rsid w:val="00172A27"/>
    <w:rsid w:val="00173F6F"/>
    <w:rsid w:val="0017736E"/>
    <w:rsid w:val="00180F1C"/>
    <w:rsid w:val="00193D6B"/>
    <w:rsid w:val="00195A20"/>
    <w:rsid w:val="001A1BEB"/>
    <w:rsid w:val="001B0E85"/>
    <w:rsid w:val="001C1112"/>
    <w:rsid w:val="001C28D6"/>
    <w:rsid w:val="001C6FFB"/>
    <w:rsid w:val="001D65C1"/>
    <w:rsid w:val="001E29AC"/>
    <w:rsid w:val="001E5E5B"/>
    <w:rsid w:val="001F48E0"/>
    <w:rsid w:val="002006A0"/>
    <w:rsid w:val="0020234C"/>
    <w:rsid w:val="0020363F"/>
    <w:rsid w:val="002050E0"/>
    <w:rsid w:val="002115A9"/>
    <w:rsid w:val="00217AF2"/>
    <w:rsid w:val="00224E9B"/>
    <w:rsid w:val="002252EB"/>
    <w:rsid w:val="0022696F"/>
    <w:rsid w:val="00231B09"/>
    <w:rsid w:val="00234809"/>
    <w:rsid w:val="002360ED"/>
    <w:rsid w:val="0024103F"/>
    <w:rsid w:val="00241866"/>
    <w:rsid w:val="00242FF3"/>
    <w:rsid w:val="00243CEA"/>
    <w:rsid w:val="00252235"/>
    <w:rsid w:val="002563E0"/>
    <w:rsid w:val="0027305C"/>
    <w:rsid w:val="00276B00"/>
    <w:rsid w:val="00277935"/>
    <w:rsid w:val="00284029"/>
    <w:rsid w:val="00285528"/>
    <w:rsid w:val="00287EEF"/>
    <w:rsid w:val="00291937"/>
    <w:rsid w:val="00294494"/>
    <w:rsid w:val="00295B92"/>
    <w:rsid w:val="002A1AF9"/>
    <w:rsid w:val="002A426E"/>
    <w:rsid w:val="002B1235"/>
    <w:rsid w:val="002B2AE9"/>
    <w:rsid w:val="002B497E"/>
    <w:rsid w:val="002C34AE"/>
    <w:rsid w:val="002E2740"/>
    <w:rsid w:val="002E29A1"/>
    <w:rsid w:val="002E55D3"/>
    <w:rsid w:val="002F06E9"/>
    <w:rsid w:val="002F50BA"/>
    <w:rsid w:val="002F5CD6"/>
    <w:rsid w:val="002F6D7F"/>
    <w:rsid w:val="0030039D"/>
    <w:rsid w:val="003030FA"/>
    <w:rsid w:val="00304135"/>
    <w:rsid w:val="00305301"/>
    <w:rsid w:val="00305679"/>
    <w:rsid w:val="00311870"/>
    <w:rsid w:val="003152E6"/>
    <w:rsid w:val="00315DB4"/>
    <w:rsid w:val="003208F7"/>
    <w:rsid w:val="003223E0"/>
    <w:rsid w:val="0032273C"/>
    <w:rsid w:val="00325C2D"/>
    <w:rsid w:val="00330C3D"/>
    <w:rsid w:val="003324A0"/>
    <w:rsid w:val="003348DE"/>
    <w:rsid w:val="00335D2B"/>
    <w:rsid w:val="003412FD"/>
    <w:rsid w:val="00341F62"/>
    <w:rsid w:val="00347491"/>
    <w:rsid w:val="00354D3A"/>
    <w:rsid w:val="00371392"/>
    <w:rsid w:val="00371DA7"/>
    <w:rsid w:val="0038567B"/>
    <w:rsid w:val="00391101"/>
    <w:rsid w:val="00396987"/>
    <w:rsid w:val="003A5DE2"/>
    <w:rsid w:val="003B6009"/>
    <w:rsid w:val="003B6522"/>
    <w:rsid w:val="003B74CD"/>
    <w:rsid w:val="003C0564"/>
    <w:rsid w:val="003D03D0"/>
    <w:rsid w:val="003D04CC"/>
    <w:rsid w:val="003D063E"/>
    <w:rsid w:val="003F0C2D"/>
    <w:rsid w:val="003F1C56"/>
    <w:rsid w:val="003F4742"/>
    <w:rsid w:val="004005C2"/>
    <w:rsid w:val="00402632"/>
    <w:rsid w:val="00402BB8"/>
    <w:rsid w:val="00403896"/>
    <w:rsid w:val="004102DE"/>
    <w:rsid w:val="00424B74"/>
    <w:rsid w:val="00426E49"/>
    <w:rsid w:val="004356F5"/>
    <w:rsid w:val="004401B8"/>
    <w:rsid w:val="0044486D"/>
    <w:rsid w:val="00446D78"/>
    <w:rsid w:val="004522F9"/>
    <w:rsid w:val="00452443"/>
    <w:rsid w:val="00454491"/>
    <w:rsid w:val="004560E7"/>
    <w:rsid w:val="00457B0E"/>
    <w:rsid w:val="00460505"/>
    <w:rsid w:val="00463726"/>
    <w:rsid w:val="00471D33"/>
    <w:rsid w:val="004727BB"/>
    <w:rsid w:val="004728F5"/>
    <w:rsid w:val="00475117"/>
    <w:rsid w:val="00475910"/>
    <w:rsid w:val="00480797"/>
    <w:rsid w:val="00482DF4"/>
    <w:rsid w:val="004859DC"/>
    <w:rsid w:val="00485E92"/>
    <w:rsid w:val="00490626"/>
    <w:rsid w:val="004A0C18"/>
    <w:rsid w:val="004A4A0D"/>
    <w:rsid w:val="004A54FC"/>
    <w:rsid w:val="004B2F87"/>
    <w:rsid w:val="004B332C"/>
    <w:rsid w:val="004C0B5A"/>
    <w:rsid w:val="004D268E"/>
    <w:rsid w:val="004D2E18"/>
    <w:rsid w:val="004E04BA"/>
    <w:rsid w:val="004E7B5E"/>
    <w:rsid w:val="004F61EA"/>
    <w:rsid w:val="005019F1"/>
    <w:rsid w:val="00503E5E"/>
    <w:rsid w:val="00514E2F"/>
    <w:rsid w:val="00523470"/>
    <w:rsid w:val="00534E7B"/>
    <w:rsid w:val="005376ED"/>
    <w:rsid w:val="00541146"/>
    <w:rsid w:val="00561507"/>
    <w:rsid w:val="0056343E"/>
    <w:rsid w:val="00567003"/>
    <w:rsid w:val="00567C73"/>
    <w:rsid w:val="005703D9"/>
    <w:rsid w:val="005723CE"/>
    <w:rsid w:val="00577218"/>
    <w:rsid w:val="00595155"/>
    <w:rsid w:val="005977A8"/>
    <w:rsid w:val="00597D8D"/>
    <w:rsid w:val="005A1203"/>
    <w:rsid w:val="005B253F"/>
    <w:rsid w:val="005B30C2"/>
    <w:rsid w:val="005B47A2"/>
    <w:rsid w:val="005B4C58"/>
    <w:rsid w:val="005B784F"/>
    <w:rsid w:val="005C5E29"/>
    <w:rsid w:val="005C6DCA"/>
    <w:rsid w:val="005C6E56"/>
    <w:rsid w:val="005C7345"/>
    <w:rsid w:val="005C7FE6"/>
    <w:rsid w:val="005D5288"/>
    <w:rsid w:val="005D5957"/>
    <w:rsid w:val="005D72E4"/>
    <w:rsid w:val="005D7F52"/>
    <w:rsid w:val="005E7C65"/>
    <w:rsid w:val="005F4A3D"/>
    <w:rsid w:val="005F5C9A"/>
    <w:rsid w:val="00604842"/>
    <w:rsid w:val="00604FCD"/>
    <w:rsid w:val="006132FB"/>
    <w:rsid w:val="006145BD"/>
    <w:rsid w:val="006155C0"/>
    <w:rsid w:val="00616E28"/>
    <w:rsid w:val="0061791A"/>
    <w:rsid w:val="006266A2"/>
    <w:rsid w:val="00627308"/>
    <w:rsid w:val="006337EC"/>
    <w:rsid w:val="00636B19"/>
    <w:rsid w:val="00654149"/>
    <w:rsid w:val="0065432D"/>
    <w:rsid w:val="0066289B"/>
    <w:rsid w:val="00672371"/>
    <w:rsid w:val="00680C0A"/>
    <w:rsid w:val="00682DAC"/>
    <w:rsid w:val="00686994"/>
    <w:rsid w:val="00690BEE"/>
    <w:rsid w:val="00690D61"/>
    <w:rsid w:val="006A0303"/>
    <w:rsid w:val="006A1F62"/>
    <w:rsid w:val="006A290F"/>
    <w:rsid w:val="006D25FC"/>
    <w:rsid w:val="006D73D7"/>
    <w:rsid w:val="006D7BD2"/>
    <w:rsid w:val="006E04F4"/>
    <w:rsid w:val="006E1C62"/>
    <w:rsid w:val="006E271B"/>
    <w:rsid w:val="006E6FB6"/>
    <w:rsid w:val="006E7927"/>
    <w:rsid w:val="006F4169"/>
    <w:rsid w:val="00701C93"/>
    <w:rsid w:val="00711D0A"/>
    <w:rsid w:val="00716AD5"/>
    <w:rsid w:val="0072038C"/>
    <w:rsid w:val="00722D58"/>
    <w:rsid w:val="007239EA"/>
    <w:rsid w:val="00726C3A"/>
    <w:rsid w:val="00730D4E"/>
    <w:rsid w:val="0073229F"/>
    <w:rsid w:val="00740AD9"/>
    <w:rsid w:val="00740B3F"/>
    <w:rsid w:val="00746CBE"/>
    <w:rsid w:val="00756F30"/>
    <w:rsid w:val="00756FCC"/>
    <w:rsid w:val="00762BBD"/>
    <w:rsid w:val="00763104"/>
    <w:rsid w:val="00765A12"/>
    <w:rsid w:val="007864B7"/>
    <w:rsid w:val="00796062"/>
    <w:rsid w:val="007A252E"/>
    <w:rsid w:val="007B3148"/>
    <w:rsid w:val="007B5FC2"/>
    <w:rsid w:val="007C167D"/>
    <w:rsid w:val="007C6F1D"/>
    <w:rsid w:val="007D2022"/>
    <w:rsid w:val="007D5F20"/>
    <w:rsid w:val="007E4858"/>
    <w:rsid w:val="007F0281"/>
    <w:rsid w:val="007F7F14"/>
    <w:rsid w:val="0080353C"/>
    <w:rsid w:val="008310C3"/>
    <w:rsid w:val="008343EE"/>
    <w:rsid w:val="00836B8A"/>
    <w:rsid w:val="008460D1"/>
    <w:rsid w:val="00846F8D"/>
    <w:rsid w:val="008531E7"/>
    <w:rsid w:val="00863AE8"/>
    <w:rsid w:val="008642BC"/>
    <w:rsid w:val="00864399"/>
    <w:rsid w:val="00871583"/>
    <w:rsid w:val="00880F78"/>
    <w:rsid w:val="00886070"/>
    <w:rsid w:val="00895B0B"/>
    <w:rsid w:val="008C2EF5"/>
    <w:rsid w:val="008C464F"/>
    <w:rsid w:val="008C7538"/>
    <w:rsid w:val="008D49E4"/>
    <w:rsid w:val="008D588B"/>
    <w:rsid w:val="008E0B5D"/>
    <w:rsid w:val="008E3D2C"/>
    <w:rsid w:val="008E7E98"/>
    <w:rsid w:val="008F3202"/>
    <w:rsid w:val="008F6232"/>
    <w:rsid w:val="009145E1"/>
    <w:rsid w:val="00915134"/>
    <w:rsid w:val="0093472B"/>
    <w:rsid w:val="00942D06"/>
    <w:rsid w:val="0095492F"/>
    <w:rsid w:val="00957A2D"/>
    <w:rsid w:val="00966E76"/>
    <w:rsid w:val="00967535"/>
    <w:rsid w:val="00970388"/>
    <w:rsid w:val="009746AA"/>
    <w:rsid w:val="009850BF"/>
    <w:rsid w:val="009858FC"/>
    <w:rsid w:val="00997012"/>
    <w:rsid w:val="009A18CE"/>
    <w:rsid w:val="009A2F2C"/>
    <w:rsid w:val="009A344B"/>
    <w:rsid w:val="009B26DF"/>
    <w:rsid w:val="009B67A7"/>
    <w:rsid w:val="009C2102"/>
    <w:rsid w:val="009C7EE7"/>
    <w:rsid w:val="009D173F"/>
    <w:rsid w:val="009D4DD1"/>
    <w:rsid w:val="009E4914"/>
    <w:rsid w:val="009E7E56"/>
    <w:rsid w:val="009F3CB4"/>
    <w:rsid w:val="009F4834"/>
    <w:rsid w:val="009F4E64"/>
    <w:rsid w:val="009F4FE9"/>
    <w:rsid w:val="009F7E23"/>
    <w:rsid w:val="00A01618"/>
    <w:rsid w:val="00A0171B"/>
    <w:rsid w:val="00A017DA"/>
    <w:rsid w:val="00A051BD"/>
    <w:rsid w:val="00A0659F"/>
    <w:rsid w:val="00A068F0"/>
    <w:rsid w:val="00A13061"/>
    <w:rsid w:val="00A161F1"/>
    <w:rsid w:val="00A20EB0"/>
    <w:rsid w:val="00A3252C"/>
    <w:rsid w:val="00A51E8B"/>
    <w:rsid w:val="00A555DA"/>
    <w:rsid w:val="00A56454"/>
    <w:rsid w:val="00A5767B"/>
    <w:rsid w:val="00A636A8"/>
    <w:rsid w:val="00A75455"/>
    <w:rsid w:val="00A80F18"/>
    <w:rsid w:val="00A845B2"/>
    <w:rsid w:val="00A91CC6"/>
    <w:rsid w:val="00A9618C"/>
    <w:rsid w:val="00AA0A67"/>
    <w:rsid w:val="00AA4683"/>
    <w:rsid w:val="00AA6955"/>
    <w:rsid w:val="00AD736D"/>
    <w:rsid w:val="00AE248B"/>
    <w:rsid w:val="00AE4889"/>
    <w:rsid w:val="00AE4C31"/>
    <w:rsid w:val="00AE5C8E"/>
    <w:rsid w:val="00AF65DC"/>
    <w:rsid w:val="00B0114A"/>
    <w:rsid w:val="00B069F0"/>
    <w:rsid w:val="00B06F23"/>
    <w:rsid w:val="00B06F86"/>
    <w:rsid w:val="00B07581"/>
    <w:rsid w:val="00B135AB"/>
    <w:rsid w:val="00B30921"/>
    <w:rsid w:val="00B31FF0"/>
    <w:rsid w:val="00B37C70"/>
    <w:rsid w:val="00B400EF"/>
    <w:rsid w:val="00B4415C"/>
    <w:rsid w:val="00B477FC"/>
    <w:rsid w:val="00B53354"/>
    <w:rsid w:val="00B567ED"/>
    <w:rsid w:val="00B626B2"/>
    <w:rsid w:val="00B6282A"/>
    <w:rsid w:val="00B64FCE"/>
    <w:rsid w:val="00B6574C"/>
    <w:rsid w:val="00B84A42"/>
    <w:rsid w:val="00B84D0E"/>
    <w:rsid w:val="00B90FD8"/>
    <w:rsid w:val="00B91484"/>
    <w:rsid w:val="00B9213D"/>
    <w:rsid w:val="00B9423C"/>
    <w:rsid w:val="00BA0F8E"/>
    <w:rsid w:val="00BB11CD"/>
    <w:rsid w:val="00BB2064"/>
    <w:rsid w:val="00BD022B"/>
    <w:rsid w:val="00BD4601"/>
    <w:rsid w:val="00BD7588"/>
    <w:rsid w:val="00BE2336"/>
    <w:rsid w:val="00BE4EF1"/>
    <w:rsid w:val="00BE5B52"/>
    <w:rsid w:val="00BF33A0"/>
    <w:rsid w:val="00C04F6F"/>
    <w:rsid w:val="00C126B5"/>
    <w:rsid w:val="00C1390D"/>
    <w:rsid w:val="00C17EAA"/>
    <w:rsid w:val="00C207AB"/>
    <w:rsid w:val="00C32277"/>
    <w:rsid w:val="00C37C11"/>
    <w:rsid w:val="00C4164A"/>
    <w:rsid w:val="00C534AC"/>
    <w:rsid w:val="00C562D6"/>
    <w:rsid w:val="00C57AEB"/>
    <w:rsid w:val="00C62622"/>
    <w:rsid w:val="00C66544"/>
    <w:rsid w:val="00C70263"/>
    <w:rsid w:val="00C834C1"/>
    <w:rsid w:val="00C91990"/>
    <w:rsid w:val="00C93F41"/>
    <w:rsid w:val="00CB3997"/>
    <w:rsid w:val="00CB5418"/>
    <w:rsid w:val="00CC4673"/>
    <w:rsid w:val="00CD0E3F"/>
    <w:rsid w:val="00CE5AF0"/>
    <w:rsid w:val="00D02E85"/>
    <w:rsid w:val="00D05B41"/>
    <w:rsid w:val="00D10A0B"/>
    <w:rsid w:val="00D16AA9"/>
    <w:rsid w:val="00D22430"/>
    <w:rsid w:val="00D32DC2"/>
    <w:rsid w:val="00D3473B"/>
    <w:rsid w:val="00D37549"/>
    <w:rsid w:val="00D40E53"/>
    <w:rsid w:val="00D43E3B"/>
    <w:rsid w:val="00D47A71"/>
    <w:rsid w:val="00D52FFE"/>
    <w:rsid w:val="00D63C74"/>
    <w:rsid w:val="00D6666F"/>
    <w:rsid w:val="00D706DF"/>
    <w:rsid w:val="00D76CA2"/>
    <w:rsid w:val="00D81B37"/>
    <w:rsid w:val="00D82D3A"/>
    <w:rsid w:val="00D93FA0"/>
    <w:rsid w:val="00D94877"/>
    <w:rsid w:val="00DA1D97"/>
    <w:rsid w:val="00DB1058"/>
    <w:rsid w:val="00DB1339"/>
    <w:rsid w:val="00DB5BCA"/>
    <w:rsid w:val="00DC7918"/>
    <w:rsid w:val="00DE0F99"/>
    <w:rsid w:val="00DE43AB"/>
    <w:rsid w:val="00DF0E6B"/>
    <w:rsid w:val="00DF5FEE"/>
    <w:rsid w:val="00DF6010"/>
    <w:rsid w:val="00E0157B"/>
    <w:rsid w:val="00E07BC7"/>
    <w:rsid w:val="00E10881"/>
    <w:rsid w:val="00E12D28"/>
    <w:rsid w:val="00E21487"/>
    <w:rsid w:val="00E21846"/>
    <w:rsid w:val="00E2238F"/>
    <w:rsid w:val="00E227B1"/>
    <w:rsid w:val="00E2308E"/>
    <w:rsid w:val="00E23EA9"/>
    <w:rsid w:val="00E32772"/>
    <w:rsid w:val="00E33D78"/>
    <w:rsid w:val="00E3777A"/>
    <w:rsid w:val="00E40609"/>
    <w:rsid w:val="00E42B49"/>
    <w:rsid w:val="00E43BE7"/>
    <w:rsid w:val="00E4671F"/>
    <w:rsid w:val="00E510BA"/>
    <w:rsid w:val="00E52B75"/>
    <w:rsid w:val="00E607C6"/>
    <w:rsid w:val="00E60ACF"/>
    <w:rsid w:val="00E60DE8"/>
    <w:rsid w:val="00E6210E"/>
    <w:rsid w:val="00E654E5"/>
    <w:rsid w:val="00E662F0"/>
    <w:rsid w:val="00E7178E"/>
    <w:rsid w:val="00E77BC2"/>
    <w:rsid w:val="00E8027B"/>
    <w:rsid w:val="00E8269D"/>
    <w:rsid w:val="00EA15C9"/>
    <w:rsid w:val="00EA5F50"/>
    <w:rsid w:val="00EA70C7"/>
    <w:rsid w:val="00EB186E"/>
    <w:rsid w:val="00EB4D14"/>
    <w:rsid w:val="00EC092C"/>
    <w:rsid w:val="00EC2181"/>
    <w:rsid w:val="00ED19D9"/>
    <w:rsid w:val="00ED20DF"/>
    <w:rsid w:val="00ED4C43"/>
    <w:rsid w:val="00EF5B11"/>
    <w:rsid w:val="00EF6F5B"/>
    <w:rsid w:val="00EF7D47"/>
    <w:rsid w:val="00EF7E73"/>
    <w:rsid w:val="00F1178B"/>
    <w:rsid w:val="00F16FF4"/>
    <w:rsid w:val="00F20752"/>
    <w:rsid w:val="00F235D3"/>
    <w:rsid w:val="00F26FF5"/>
    <w:rsid w:val="00F34840"/>
    <w:rsid w:val="00F34B94"/>
    <w:rsid w:val="00F37378"/>
    <w:rsid w:val="00F37C08"/>
    <w:rsid w:val="00F435E9"/>
    <w:rsid w:val="00F579CC"/>
    <w:rsid w:val="00F667CA"/>
    <w:rsid w:val="00F719D5"/>
    <w:rsid w:val="00F73762"/>
    <w:rsid w:val="00F73C75"/>
    <w:rsid w:val="00F75861"/>
    <w:rsid w:val="00F84409"/>
    <w:rsid w:val="00F84B04"/>
    <w:rsid w:val="00F86563"/>
    <w:rsid w:val="00F91F5B"/>
    <w:rsid w:val="00F91F88"/>
    <w:rsid w:val="00F928E3"/>
    <w:rsid w:val="00FA2913"/>
    <w:rsid w:val="00FA3F66"/>
    <w:rsid w:val="00FA72D2"/>
    <w:rsid w:val="00FB43D6"/>
    <w:rsid w:val="00FC1907"/>
    <w:rsid w:val="00FC1EE3"/>
    <w:rsid w:val="00FC3E99"/>
    <w:rsid w:val="00FD22FF"/>
    <w:rsid w:val="00FD404E"/>
    <w:rsid w:val="00FD4B71"/>
    <w:rsid w:val="00FD4F16"/>
    <w:rsid w:val="00FD65DC"/>
    <w:rsid w:val="00FE1583"/>
    <w:rsid w:val="00FE633F"/>
    <w:rsid w:val="00FF1310"/>
    <w:rsid w:val="00FF724C"/>
    <w:rsid w:val="01215E31"/>
    <w:rsid w:val="016A6987"/>
    <w:rsid w:val="017342F3"/>
    <w:rsid w:val="018C5AFF"/>
    <w:rsid w:val="01934593"/>
    <w:rsid w:val="01A926BF"/>
    <w:rsid w:val="01AF71CB"/>
    <w:rsid w:val="02473288"/>
    <w:rsid w:val="024A5156"/>
    <w:rsid w:val="024D75E9"/>
    <w:rsid w:val="025A16DF"/>
    <w:rsid w:val="027947F6"/>
    <w:rsid w:val="02903AF0"/>
    <w:rsid w:val="02C43BE4"/>
    <w:rsid w:val="02CF46F2"/>
    <w:rsid w:val="02DA3561"/>
    <w:rsid w:val="02E458A7"/>
    <w:rsid w:val="03330201"/>
    <w:rsid w:val="037C68C6"/>
    <w:rsid w:val="03C17992"/>
    <w:rsid w:val="03FA2B2E"/>
    <w:rsid w:val="04306D13"/>
    <w:rsid w:val="044D244E"/>
    <w:rsid w:val="048A04B1"/>
    <w:rsid w:val="04A458AE"/>
    <w:rsid w:val="055F573B"/>
    <w:rsid w:val="05956F7C"/>
    <w:rsid w:val="05C175D7"/>
    <w:rsid w:val="05DE3D87"/>
    <w:rsid w:val="05F55465"/>
    <w:rsid w:val="06615687"/>
    <w:rsid w:val="069A5C2C"/>
    <w:rsid w:val="06CF1633"/>
    <w:rsid w:val="071D50CD"/>
    <w:rsid w:val="07565A95"/>
    <w:rsid w:val="07575CFE"/>
    <w:rsid w:val="07A50E22"/>
    <w:rsid w:val="081C5A88"/>
    <w:rsid w:val="08395239"/>
    <w:rsid w:val="092A6D38"/>
    <w:rsid w:val="095A6C24"/>
    <w:rsid w:val="09605857"/>
    <w:rsid w:val="096A2CD8"/>
    <w:rsid w:val="0980097E"/>
    <w:rsid w:val="098D5200"/>
    <w:rsid w:val="09B84214"/>
    <w:rsid w:val="09FB3761"/>
    <w:rsid w:val="0A005993"/>
    <w:rsid w:val="0A24477D"/>
    <w:rsid w:val="0A7A429C"/>
    <w:rsid w:val="0A872DA2"/>
    <w:rsid w:val="0A8E3B51"/>
    <w:rsid w:val="0B3F1FEA"/>
    <w:rsid w:val="0B5A482A"/>
    <w:rsid w:val="0B781888"/>
    <w:rsid w:val="0B8D2BB5"/>
    <w:rsid w:val="0B942D81"/>
    <w:rsid w:val="0BD42E46"/>
    <w:rsid w:val="0C0B2A2B"/>
    <w:rsid w:val="0C62054C"/>
    <w:rsid w:val="0D28120A"/>
    <w:rsid w:val="0DA8545D"/>
    <w:rsid w:val="0DCA3F39"/>
    <w:rsid w:val="0E314BDF"/>
    <w:rsid w:val="0E507F17"/>
    <w:rsid w:val="0E676A0A"/>
    <w:rsid w:val="0EAC2427"/>
    <w:rsid w:val="0EB208DB"/>
    <w:rsid w:val="0EF06382"/>
    <w:rsid w:val="0EF63416"/>
    <w:rsid w:val="0F274367"/>
    <w:rsid w:val="0F3260E4"/>
    <w:rsid w:val="0F4279DD"/>
    <w:rsid w:val="0FD21343"/>
    <w:rsid w:val="10094C29"/>
    <w:rsid w:val="1027658A"/>
    <w:rsid w:val="107473CD"/>
    <w:rsid w:val="108431F5"/>
    <w:rsid w:val="108A7771"/>
    <w:rsid w:val="109B09B2"/>
    <w:rsid w:val="10E91033"/>
    <w:rsid w:val="10FC78D5"/>
    <w:rsid w:val="11216B59"/>
    <w:rsid w:val="11282606"/>
    <w:rsid w:val="113D30B6"/>
    <w:rsid w:val="11985D5C"/>
    <w:rsid w:val="11AE1167"/>
    <w:rsid w:val="11EF034F"/>
    <w:rsid w:val="120414EA"/>
    <w:rsid w:val="12264131"/>
    <w:rsid w:val="12767727"/>
    <w:rsid w:val="13335C64"/>
    <w:rsid w:val="136164BE"/>
    <w:rsid w:val="139113D8"/>
    <w:rsid w:val="14152CE6"/>
    <w:rsid w:val="141931DC"/>
    <w:rsid w:val="14A02D52"/>
    <w:rsid w:val="150A6EE8"/>
    <w:rsid w:val="150B336F"/>
    <w:rsid w:val="15227EB7"/>
    <w:rsid w:val="152C66C8"/>
    <w:rsid w:val="15473D90"/>
    <w:rsid w:val="154E4FAD"/>
    <w:rsid w:val="15A56E69"/>
    <w:rsid w:val="15D23FE7"/>
    <w:rsid w:val="160C0B2B"/>
    <w:rsid w:val="16354F2D"/>
    <w:rsid w:val="165F28F2"/>
    <w:rsid w:val="16850465"/>
    <w:rsid w:val="16A02D75"/>
    <w:rsid w:val="16BF64DE"/>
    <w:rsid w:val="16EA35BE"/>
    <w:rsid w:val="16EB493B"/>
    <w:rsid w:val="17144FE5"/>
    <w:rsid w:val="172D2F07"/>
    <w:rsid w:val="174A53A2"/>
    <w:rsid w:val="17710040"/>
    <w:rsid w:val="17AB5F3F"/>
    <w:rsid w:val="17DD5557"/>
    <w:rsid w:val="17FE7121"/>
    <w:rsid w:val="180554E8"/>
    <w:rsid w:val="18143465"/>
    <w:rsid w:val="181E51DE"/>
    <w:rsid w:val="18472855"/>
    <w:rsid w:val="186775E9"/>
    <w:rsid w:val="189041E1"/>
    <w:rsid w:val="197636A5"/>
    <w:rsid w:val="19A41BFA"/>
    <w:rsid w:val="19BA45D2"/>
    <w:rsid w:val="19F15FA9"/>
    <w:rsid w:val="1A195A04"/>
    <w:rsid w:val="1A6037FD"/>
    <w:rsid w:val="1AE47AC5"/>
    <w:rsid w:val="1B0A7C3D"/>
    <w:rsid w:val="1B471CAE"/>
    <w:rsid w:val="1B4F6469"/>
    <w:rsid w:val="1B8A2614"/>
    <w:rsid w:val="1C2F25E9"/>
    <w:rsid w:val="1C48777A"/>
    <w:rsid w:val="1C9F3CB0"/>
    <w:rsid w:val="1CA00C9C"/>
    <w:rsid w:val="1D0F6BB2"/>
    <w:rsid w:val="1D124EF9"/>
    <w:rsid w:val="1D733D6F"/>
    <w:rsid w:val="1D762C0E"/>
    <w:rsid w:val="1D900A0F"/>
    <w:rsid w:val="1D901405"/>
    <w:rsid w:val="1DB01E81"/>
    <w:rsid w:val="1DC87804"/>
    <w:rsid w:val="1DCB0C66"/>
    <w:rsid w:val="1DD82A7E"/>
    <w:rsid w:val="1DF62189"/>
    <w:rsid w:val="1ED34241"/>
    <w:rsid w:val="1EF953EA"/>
    <w:rsid w:val="1F7170FE"/>
    <w:rsid w:val="20054087"/>
    <w:rsid w:val="20763AC7"/>
    <w:rsid w:val="20891E4F"/>
    <w:rsid w:val="20E2249C"/>
    <w:rsid w:val="20F379B9"/>
    <w:rsid w:val="21372496"/>
    <w:rsid w:val="21467EE5"/>
    <w:rsid w:val="215C5D23"/>
    <w:rsid w:val="216503A0"/>
    <w:rsid w:val="216C1201"/>
    <w:rsid w:val="21A437F7"/>
    <w:rsid w:val="21CB0D40"/>
    <w:rsid w:val="224C67EE"/>
    <w:rsid w:val="22C942FC"/>
    <w:rsid w:val="22D7740D"/>
    <w:rsid w:val="22F0085B"/>
    <w:rsid w:val="232203EE"/>
    <w:rsid w:val="23924066"/>
    <w:rsid w:val="23D7717A"/>
    <w:rsid w:val="23DE64E5"/>
    <w:rsid w:val="242E5AC9"/>
    <w:rsid w:val="245445BA"/>
    <w:rsid w:val="246A1DD4"/>
    <w:rsid w:val="247C76C5"/>
    <w:rsid w:val="24923400"/>
    <w:rsid w:val="25231A28"/>
    <w:rsid w:val="25645147"/>
    <w:rsid w:val="25F80623"/>
    <w:rsid w:val="25FA7D31"/>
    <w:rsid w:val="26140C63"/>
    <w:rsid w:val="2617434C"/>
    <w:rsid w:val="267C28CC"/>
    <w:rsid w:val="26C30797"/>
    <w:rsid w:val="26FD2AD4"/>
    <w:rsid w:val="26FF3540"/>
    <w:rsid w:val="27610CE2"/>
    <w:rsid w:val="277C78A6"/>
    <w:rsid w:val="27981917"/>
    <w:rsid w:val="280A7BB2"/>
    <w:rsid w:val="28380544"/>
    <w:rsid w:val="284B7A6F"/>
    <w:rsid w:val="284C3E0B"/>
    <w:rsid w:val="28806056"/>
    <w:rsid w:val="288551E6"/>
    <w:rsid w:val="28A93ABC"/>
    <w:rsid w:val="28E26D97"/>
    <w:rsid w:val="294E5C4F"/>
    <w:rsid w:val="2959569B"/>
    <w:rsid w:val="29596DFA"/>
    <w:rsid w:val="297D5256"/>
    <w:rsid w:val="2988419C"/>
    <w:rsid w:val="29E4308B"/>
    <w:rsid w:val="29E871A3"/>
    <w:rsid w:val="29EA606A"/>
    <w:rsid w:val="2A2A02D9"/>
    <w:rsid w:val="2A3F7F06"/>
    <w:rsid w:val="2A852A2B"/>
    <w:rsid w:val="2AC87647"/>
    <w:rsid w:val="2AF334A4"/>
    <w:rsid w:val="2AFD78B1"/>
    <w:rsid w:val="2B1F1F97"/>
    <w:rsid w:val="2B1F3E2A"/>
    <w:rsid w:val="2B2943AC"/>
    <w:rsid w:val="2BAF2C8A"/>
    <w:rsid w:val="2BED377F"/>
    <w:rsid w:val="2C4A457A"/>
    <w:rsid w:val="2C622643"/>
    <w:rsid w:val="2CA635FA"/>
    <w:rsid w:val="2CAE7512"/>
    <w:rsid w:val="2CEE3A70"/>
    <w:rsid w:val="2D3B1008"/>
    <w:rsid w:val="2D791CB6"/>
    <w:rsid w:val="2DD23210"/>
    <w:rsid w:val="2DF16BA1"/>
    <w:rsid w:val="2E202043"/>
    <w:rsid w:val="2E694E64"/>
    <w:rsid w:val="2E8A21FD"/>
    <w:rsid w:val="2F150C57"/>
    <w:rsid w:val="2F685217"/>
    <w:rsid w:val="2F9439F3"/>
    <w:rsid w:val="2FEE49A9"/>
    <w:rsid w:val="2FF042A6"/>
    <w:rsid w:val="300E11D4"/>
    <w:rsid w:val="301D5161"/>
    <w:rsid w:val="30891EDC"/>
    <w:rsid w:val="309A5018"/>
    <w:rsid w:val="30F6205C"/>
    <w:rsid w:val="313C7983"/>
    <w:rsid w:val="31613472"/>
    <w:rsid w:val="31705BD8"/>
    <w:rsid w:val="31D63E80"/>
    <w:rsid w:val="32251184"/>
    <w:rsid w:val="32753AC7"/>
    <w:rsid w:val="32AB763E"/>
    <w:rsid w:val="32B16EDD"/>
    <w:rsid w:val="333140AD"/>
    <w:rsid w:val="335607AB"/>
    <w:rsid w:val="337326B7"/>
    <w:rsid w:val="33937BF2"/>
    <w:rsid w:val="33E42C4A"/>
    <w:rsid w:val="341E36B3"/>
    <w:rsid w:val="34AB164B"/>
    <w:rsid w:val="34C1700C"/>
    <w:rsid w:val="34E26A4C"/>
    <w:rsid w:val="35373964"/>
    <w:rsid w:val="35502550"/>
    <w:rsid w:val="357072EB"/>
    <w:rsid w:val="35CE1254"/>
    <w:rsid w:val="35FA73D6"/>
    <w:rsid w:val="368E4D24"/>
    <w:rsid w:val="36D91818"/>
    <w:rsid w:val="37015BC4"/>
    <w:rsid w:val="37184006"/>
    <w:rsid w:val="373C63BD"/>
    <w:rsid w:val="376D0482"/>
    <w:rsid w:val="37701F77"/>
    <w:rsid w:val="37A10160"/>
    <w:rsid w:val="37BC0202"/>
    <w:rsid w:val="37C22062"/>
    <w:rsid w:val="37F556C0"/>
    <w:rsid w:val="382237B4"/>
    <w:rsid w:val="38503AF0"/>
    <w:rsid w:val="3876134F"/>
    <w:rsid w:val="389C7518"/>
    <w:rsid w:val="38A026A3"/>
    <w:rsid w:val="395C416A"/>
    <w:rsid w:val="396E1804"/>
    <w:rsid w:val="39DF7D7B"/>
    <w:rsid w:val="39F56629"/>
    <w:rsid w:val="3A1A3061"/>
    <w:rsid w:val="3A1E3C3A"/>
    <w:rsid w:val="3A6976D8"/>
    <w:rsid w:val="3A940C98"/>
    <w:rsid w:val="3AE46108"/>
    <w:rsid w:val="3B731CC6"/>
    <w:rsid w:val="3BCD6D3E"/>
    <w:rsid w:val="3C084F1F"/>
    <w:rsid w:val="3C4D3736"/>
    <w:rsid w:val="3C675B70"/>
    <w:rsid w:val="3CC64E18"/>
    <w:rsid w:val="3D186376"/>
    <w:rsid w:val="3D73350D"/>
    <w:rsid w:val="3DE76BD5"/>
    <w:rsid w:val="3DEA6C6F"/>
    <w:rsid w:val="3E34472A"/>
    <w:rsid w:val="3E4F75BA"/>
    <w:rsid w:val="3E782862"/>
    <w:rsid w:val="3E7A5293"/>
    <w:rsid w:val="3E820042"/>
    <w:rsid w:val="3EC96391"/>
    <w:rsid w:val="3ED273E2"/>
    <w:rsid w:val="3F170939"/>
    <w:rsid w:val="3F4F3D87"/>
    <w:rsid w:val="3F54050A"/>
    <w:rsid w:val="3FC858AF"/>
    <w:rsid w:val="40020998"/>
    <w:rsid w:val="40302E3E"/>
    <w:rsid w:val="40471F45"/>
    <w:rsid w:val="405A1FD9"/>
    <w:rsid w:val="40DA72E5"/>
    <w:rsid w:val="40F672AA"/>
    <w:rsid w:val="411A559F"/>
    <w:rsid w:val="413810FE"/>
    <w:rsid w:val="415D3B8B"/>
    <w:rsid w:val="416D04D4"/>
    <w:rsid w:val="41A2106C"/>
    <w:rsid w:val="41BB72D7"/>
    <w:rsid w:val="41C2091E"/>
    <w:rsid w:val="41C45450"/>
    <w:rsid w:val="422B35DF"/>
    <w:rsid w:val="42372D35"/>
    <w:rsid w:val="424E5A72"/>
    <w:rsid w:val="426D00B6"/>
    <w:rsid w:val="43331490"/>
    <w:rsid w:val="433E7042"/>
    <w:rsid w:val="436F1A16"/>
    <w:rsid w:val="43C15685"/>
    <w:rsid w:val="44266637"/>
    <w:rsid w:val="44473E0C"/>
    <w:rsid w:val="446D51D4"/>
    <w:rsid w:val="44845B8F"/>
    <w:rsid w:val="449D4909"/>
    <w:rsid w:val="44B8670E"/>
    <w:rsid w:val="45825805"/>
    <w:rsid w:val="459D1FE7"/>
    <w:rsid w:val="45A954BD"/>
    <w:rsid w:val="46097D35"/>
    <w:rsid w:val="460D7E82"/>
    <w:rsid w:val="46A66E1A"/>
    <w:rsid w:val="46B45EE5"/>
    <w:rsid w:val="46C26758"/>
    <w:rsid w:val="4709663E"/>
    <w:rsid w:val="4716503A"/>
    <w:rsid w:val="474848E7"/>
    <w:rsid w:val="475351EA"/>
    <w:rsid w:val="4795328D"/>
    <w:rsid w:val="47CD49CE"/>
    <w:rsid w:val="47D0583D"/>
    <w:rsid w:val="47D32573"/>
    <w:rsid w:val="47E40CEC"/>
    <w:rsid w:val="48484308"/>
    <w:rsid w:val="48CA5E11"/>
    <w:rsid w:val="48D42E52"/>
    <w:rsid w:val="48E5391A"/>
    <w:rsid w:val="48EA03FC"/>
    <w:rsid w:val="49336A3E"/>
    <w:rsid w:val="49341853"/>
    <w:rsid w:val="49374EF6"/>
    <w:rsid w:val="494D6A3D"/>
    <w:rsid w:val="49581D21"/>
    <w:rsid w:val="49AB4C93"/>
    <w:rsid w:val="49F859D9"/>
    <w:rsid w:val="4A653848"/>
    <w:rsid w:val="4A9D1430"/>
    <w:rsid w:val="4B6B57A1"/>
    <w:rsid w:val="4B723169"/>
    <w:rsid w:val="4BF748ED"/>
    <w:rsid w:val="4C081354"/>
    <w:rsid w:val="4C1D6268"/>
    <w:rsid w:val="4C1E6508"/>
    <w:rsid w:val="4C9901D6"/>
    <w:rsid w:val="4CBC56BD"/>
    <w:rsid w:val="4CCD230A"/>
    <w:rsid w:val="4D0B652E"/>
    <w:rsid w:val="4D193ECD"/>
    <w:rsid w:val="4D64189A"/>
    <w:rsid w:val="4D950774"/>
    <w:rsid w:val="4DA50798"/>
    <w:rsid w:val="4DB127DD"/>
    <w:rsid w:val="4DBD3C66"/>
    <w:rsid w:val="4DEE1F0F"/>
    <w:rsid w:val="4E2649B5"/>
    <w:rsid w:val="4E454402"/>
    <w:rsid w:val="4E561EDE"/>
    <w:rsid w:val="4ED67156"/>
    <w:rsid w:val="4F481724"/>
    <w:rsid w:val="4F4D734B"/>
    <w:rsid w:val="4FEB4C83"/>
    <w:rsid w:val="50164D0E"/>
    <w:rsid w:val="501E6696"/>
    <w:rsid w:val="50614730"/>
    <w:rsid w:val="50787340"/>
    <w:rsid w:val="50845121"/>
    <w:rsid w:val="50F037D7"/>
    <w:rsid w:val="51853FAC"/>
    <w:rsid w:val="51FA246A"/>
    <w:rsid w:val="5230040B"/>
    <w:rsid w:val="52316E05"/>
    <w:rsid w:val="524B0E5E"/>
    <w:rsid w:val="52C1479A"/>
    <w:rsid w:val="535247CA"/>
    <w:rsid w:val="536C09E2"/>
    <w:rsid w:val="5384747F"/>
    <w:rsid w:val="53E42B9F"/>
    <w:rsid w:val="54952F6F"/>
    <w:rsid w:val="54D252B7"/>
    <w:rsid w:val="54F71AAA"/>
    <w:rsid w:val="554E48CB"/>
    <w:rsid w:val="557632C5"/>
    <w:rsid w:val="557D7897"/>
    <w:rsid w:val="55B41E33"/>
    <w:rsid w:val="55BA745B"/>
    <w:rsid w:val="55FC732E"/>
    <w:rsid w:val="5610582D"/>
    <w:rsid w:val="56135CFB"/>
    <w:rsid w:val="56F93D18"/>
    <w:rsid w:val="57345AA9"/>
    <w:rsid w:val="57605E09"/>
    <w:rsid w:val="584B73FD"/>
    <w:rsid w:val="58994799"/>
    <w:rsid w:val="58AC7F91"/>
    <w:rsid w:val="58E36471"/>
    <w:rsid w:val="58F1012E"/>
    <w:rsid w:val="593534E5"/>
    <w:rsid w:val="59AD0D3B"/>
    <w:rsid w:val="59D602B3"/>
    <w:rsid w:val="59E22695"/>
    <w:rsid w:val="5A4018AA"/>
    <w:rsid w:val="5A454E5D"/>
    <w:rsid w:val="5A4F79C9"/>
    <w:rsid w:val="5B113C20"/>
    <w:rsid w:val="5BA52719"/>
    <w:rsid w:val="5BC857B6"/>
    <w:rsid w:val="5BE52178"/>
    <w:rsid w:val="5BF26FDC"/>
    <w:rsid w:val="5C9C3B34"/>
    <w:rsid w:val="5CD53227"/>
    <w:rsid w:val="5D2F2D9D"/>
    <w:rsid w:val="5D3B278C"/>
    <w:rsid w:val="5D6D6389"/>
    <w:rsid w:val="5DAA4B7F"/>
    <w:rsid w:val="5DCB0D4A"/>
    <w:rsid w:val="5DF06F7F"/>
    <w:rsid w:val="5DFD0F78"/>
    <w:rsid w:val="5E3E0947"/>
    <w:rsid w:val="5E455878"/>
    <w:rsid w:val="5E8E535C"/>
    <w:rsid w:val="5EAF6E28"/>
    <w:rsid w:val="5EC833B0"/>
    <w:rsid w:val="5EEE7D3F"/>
    <w:rsid w:val="5F176B60"/>
    <w:rsid w:val="5F30777E"/>
    <w:rsid w:val="5F3C1A96"/>
    <w:rsid w:val="5FA929E5"/>
    <w:rsid w:val="60B254BD"/>
    <w:rsid w:val="60C05318"/>
    <w:rsid w:val="60DF4C2D"/>
    <w:rsid w:val="60E3510A"/>
    <w:rsid w:val="60E53F13"/>
    <w:rsid w:val="60E751A7"/>
    <w:rsid w:val="60FE1FBC"/>
    <w:rsid w:val="61161CC4"/>
    <w:rsid w:val="612C75E0"/>
    <w:rsid w:val="613C576B"/>
    <w:rsid w:val="6178448A"/>
    <w:rsid w:val="61DC2869"/>
    <w:rsid w:val="61EE2C57"/>
    <w:rsid w:val="61F937BA"/>
    <w:rsid w:val="62481281"/>
    <w:rsid w:val="62562CF8"/>
    <w:rsid w:val="62644F32"/>
    <w:rsid w:val="62F75CFE"/>
    <w:rsid w:val="63044427"/>
    <w:rsid w:val="63464C15"/>
    <w:rsid w:val="63774C2E"/>
    <w:rsid w:val="63996408"/>
    <w:rsid w:val="63DF72DD"/>
    <w:rsid w:val="64043B2F"/>
    <w:rsid w:val="64426F7B"/>
    <w:rsid w:val="64AC7A92"/>
    <w:rsid w:val="64AF5148"/>
    <w:rsid w:val="64ED4ACD"/>
    <w:rsid w:val="65576E41"/>
    <w:rsid w:val="655B2DD2"/>
    <w:rsid w:val="65621731"/>
    <w:rsid w:val="656973BF"/>
    <w:rsid w:val="659529C0"/>
    <w:rsid w:val="65C57BBA"/>
    <w:rsid w:val="6613527D"/>
    <w:rsid w:val="66530638"/>
    <w:rsid w:val="671D731C"/>
    <w:rsid w:val="67394E41"/>
    <w:rsid w:val="674D7575"/>
    <w:rsid w:val="674E12D3"/>
    <w:rsid w:val="67611B8A"/>
    <w:rsid w:val="677D1ACB"/>
    <w:rsid w:val="679572FD"/>
    <w:rsid w:val="67CF603D"/>
    <w:rsid w:val="67E86667"/>
    <w:rsid w:val="680020C2"/>
    <w:rsid w:val="68082265"/>
    <w:rsid w:val="684908E0"/>
    <w:rsid w:val="68806246"/>
    <w:rsid w:val="68B96B50"/>
    <w:rsid w:val="68CF3983"/>
    <w:rsid w:val="68D21F68"/>
    <w:rsid w:val="68E1182B"/>
    <w:rsid w:val="68EA7DB9"/>
    <w:rsid w:val="690016AE"/>
    <w:rsid w:val="69046081"/>
    <w:rsid w:val="6910579F"/>
    <w:rsid w:val="69AF609C"/>
    <w:rsid w:val="69AF73C2"/>
    <w:rsid w:val="69E878E0"/>
    <w:rsid w:val="69EE7E1F"/>
    <w:rsid w:val="6A863A94"/>
    <w:rsid w:val="6AA6228A"/>
    <w:rsid w:val="6B0359FB"/>
    <w:rsid w:val="6B062622"/>
    <w:rsid w:val="6B1B3445"/>
    <w:rsid w:val="6B4136D3"/>
    <w:rsid w:val="6B8612AF"/>
    <w:rsid w:val="6BC0180B"/>
    <w:rsid w:val="6BCB0E92"/>
    <w:rsid w:val="6C09611C"/>
    <w:rsid w:val="6C8B0670"/>
    <w:rsid w:val="6CC102E1"/>
    <w:rsid w:val="6CEF5669"/>
    <w:rsid w:val="6D1B1BD5"/>
    <w:rsid w:val="6D412A49"/>
    <w:rsid w:val="6D806591"/>
    <w:rsid w:val="6E135B3A"/>
    <w:rsid w:val="6E3D7E8E"/>
    <w:rsid w:val="6E683DEA"/>
    <w:rsid w:val="6E88104F"/>
    <w:rsid w:val="6EB40E87"/>
    <w:rsid w:val="6EF73EAA"/>
    <w:rsid w:val="6EFD3D5B"/>
    <w:rsid w:val="6F483AAF"/>
    <w:rsid w:val="6F4A0F7E"/>
    <w:rsid w:val="6F5E6A28"/>
    <w:rsid w:val="6F6B2C1E"/>
    <w:rsid w:val="6F9B0B59"/>
    <w:rsid w:val="6FA806A4"/>
    <w:rsid w:val="700E3EB7"/>
    <w:rsid w:val="705629B4"/>
    <w:rsid w:val="706527C1"/>
    <w:rsid w:val="70E07551"/>
    <w:rsid w:val="70FD53E8"/>
    <w:rsid w:val="7111567C"/>
    <w:rsid w:val="71264385"/>
    <w:rsid w:val="715F237F"/>
    <w:rsid w:val="71687FC3"/>
    <w:rsid w:val="717D0EA2"/>
    <w:rsid w:val="718465E5"/>
    <w:rsid w:val="71A95540"/>
    <w:rsid w:val="71FE28AC"/>
    <w:rsid w:val="72F9705E"/>
    <w:rsid w:val="73277A70"/>
    <w:rsid w:val="73BB7764"/>
    <w:rsid w:val="73C00648"/>
    <w:rsid w:val="73E0759E"/>
    <w:rsid w:val="743A09AC"/>
    <w:rsid w:val="75287FB7"/>
    <w:rsid w:val="753F7DDE"/>
    <w:rsid w:val="761A59AA"/>
    <w:rsid w:val="762554E7"/>
    <w:rsid w:val="767A68B7"/>
    <w:rsid w:val="7719592A"/>
    <w:rsid w:val="77265838"/>
    <w:rsid w:val="774B47AB"/>
    <w:rsid w:val="77507CEA"/>
    <w:rsid w:val="77715B79"/>
    <w:rsid w:val="777F010A"/>
    <w:rsid w:val="77A36DCB"/>
    <w:rsid w:val="77BA4AAF"/>
    <w:rsid w:val="77F60626"/>
    <w:rsid w:val="787D3895"/>
    <w:rsid w:val="78E8311B"/>
    <w:rsid w:val="79277041"/>
    <w:rsid w:val="79462B72"/>
    <w:rsid w:val="7958008A"/>
    <w:rsid w:val="798A4AAA"/>
    <w:rsid w:val="798F1F3A"/>
    <w:rsid w:val="79BD5564"/>
    <w:rsid w:val="79BF318E"/>
    <w:rsid w:val="79D622C7"/>
    <w:rsid w:val="7A630961"/>
    <w:rsid w:val="7AC8734D"/>
    <w:rsid w:val="7B0922E3"/>
    <w:rsid w:val="7B167383"/>
    <w:rsid w:val="7B517ACB"/>
    <w:rsid w:val="7B754562"/>
    <w:rsid w:val="7C6B3CCF"/>
    <w:rsid w:val="7C6D40EB"/>
    <w:rsid w:val="7C716D32"/>
    <w:rsid w:val="7CF87BDF"/>
    <w:rsid w:val="7D0A0DD1"/>
    <w:rsid w:val="7DD21AAC"/>
    <w:rsid w:val="7DD777F3"/>
    <w:rsid w:val="7E12622D"/>
    <w:rsid w:val="7ED1695D"/>
    <w:rsid w:val="7F1C059D"/>
    <w:rsid w:val="7F49127B"/>
    <w:rsid w:val="7F552068"/>
    <w:rsid w:val="7F755147"/>
    <w:rsid w:val="7F9D58B6"/>
    <w:rsid w:val="7FC41278"/>
    <w:rsid w:val="7FD13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pPr>
      <w:jc w:val="left"/>
    </w:pPr>
  </w:style>
  <w:style w:type="paragraph" w:styleId="3">
    <w:name w:val="Balloon Text"/>
    <w:basedOn w:val="1"/>
    <w:link w:val="17"/>
    <w:qFormat/>
    <w:uiPriority w:val="0"/>
    <w:rPr>
      <w:sz w:val="18"/>
      <w:szCs w:val="18"/>
    </w:rPr>
  </w:style>
  <w:style w:type="paragraph" w:styleId="4">
    <w:name w:val="footer"/>
    <w:basedOn w:val="1"/>
    <w:qFormat/>
    <w:uiPriority w:val="0"/>
    <w:pPr>
      <w:tabs>
        <w:tab w:val="center" w:pos="4153"/>
        <w:tab w:val="right" w:pos="8306"/>
      </w:tabs>
      <w:snapToGrid w:val="0"/>
      <w:jc w:val="left"/>
    </w:pPr>
    <w:rPr>
      <w:kern w:val="0"/>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kern w:val="0"/>
      <w:sz w:val="24"/>
    </w:rPr>
  </w:style>
  <w:style w:type="paragraph" w:styleId="7">
    <w:name w:val="annotation subject"/>
    <w:basedOn w:val="2"/>
    <w:next w:val="2"/>
    <w:link w:val="16"/>
    <w:qFormat/>
    <w:uiPriority w:val="0"/>
    <w:rPr>
      <w:b/>
      <w:bCs/>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annotation reference"/>
    <w:basedOn w:val="10"/>
    <w:qFormat/>
    <w:uiPriority w:val="0"/>
    <w:rPr>
      <w:sz w:val="21"/>
      <w:szCs w:val="21"/>
    </w:rPr>
  </w:style>
  <w:style w:type="character" w:customStyle="1" w:styleId="12">
    <w:name w:val="页眉 字符"/>
    <w:basedOn w:val="10"/>
    <w:link w:val="5"/>
    <w:qFormat/>
    <w:uiPriority w:val="0"/>
    <w:rPr>
      <w:rFonts w:ascii="Times New Roman" w:hAnsi="Times New Roman" w:cs="Times New Roman"/>
      <w:kern w:val="2"/>
      <w:sz w:val="18"/>
      <w:szCs w:val="18"/>
    </w:rPr>
  </w:style>
  <w:style w:type="paragraph" w:customStyle="1" w:styleId="13">
    <w:name w:val="Char"/>
    <w:basedOn w:val="1"/>
    <w:next w:val="1"/>
    <w:qFormat/>
    <w:uiPriority w:val="0"/>
    <w:pPr>
      <w:spacing w:after="160" w:line="240" w:lineRule="exact"/>
    </w:pPr>
    <w:rPr>
      <w:szCs w:val="20"/>
    </w:rPr>
  </w:style>
  <w:style w:type="paragraph" w:customStyle="1" w:styleId="14">
    <w:name w:val="列出段落1"/>
    <w:basedOn w:val="1"/>
    <w:qFormat/>
    <w:uiPriority w:val="0"/>
    <w:pPr>
      <w:ind w:firstLine="420" w:firstLineChars="200"/>
    </w:pPr>
    <w:rPr>
      <w:rFonts w:ascii="Calibri" w:hAnsi="Calibri"/>
      <w:szCs w:val="22"/>
    </w:rPr>
  </w:style>
  <w:style w:type="character" w:customStyle="1" w:styleId="15">
    <w:name w:val="批注文字 字符"/>
    <w:basedOn w:val="10"/>
    <w:link w:val="2"/>
    <w:qFormat/>
    <w:uiPriority w:val="0"/>
    <w:rPr>
      <w:kern w:val="2"/>
      <w:sz w:val="21"/>
      <w:szCs w:val="24"/>
    </w:rPr>
  </w:style>
  <w:style w:type="character" w:customStyle="1" w:styleId="16">
    <w:name w:val="批注主题 字符"/>
    <w:basedOn w:val="15"/>
    <w:link w:val="7"/>
    <w:qFormat/>
    <w:uiPriority w:val="0"/>
    <w:rPr>
      <w:b/>
      <w:bCs/>
      <w:kern w:val="2"/>
      <w:sz w:val="21"/>
      <w:szCs w:val="24"/>
    </w:rPr>
  </w:style>
  <w:style w:type="character" w:customStyle="1" w:styleId="17">
    <w:name w:val="批注框文本 字符"/>
    <w:basedOn w:val="10"/>
    <w:link w:val="3"/>
    <w:qFormat/>
    <w:uiPriority w:val="0"/>
    <w:rPr>
      <w:kern w:val="2"/>
      <w:sz w:val="18"/>
      <w:szCs w:val="18"/>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79CC25-A89D-41DC-A94D-95CA4037F09D}">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20155</Words>
  <Characters>4687</Characters>
  <Lines>39</Lines>
  <Paragraphs>49</Paragraphs>
  <TotalTime>3</TotalTime>
  <ScaleCrop>false</ScaleCrop>
  <LinksUpToDate>false</LinksUpToDate>
  <CharactersWithSpaces>24793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2021-05-12T15:22:00Z</dcterms:created>
  <dc:creator>73811</dc:creator>
  <cp:lastModifiedBy>龙友玉</cp:lastModifiedBy>
  <dcterms:modified xsi:type="dcterms:W3CDTF">2021-06-28T03:32:59Z</dcterms:modified>
  <cp:revision>353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443421287_cloud</vt:lpwstr>
  </property>
  <property fmtid="{D5CDD505-2E9C-101B-9397-08002B2CF9AE}" pid="4" name="ICV">
    <vt:lpwstr>5941678227AC4EA9B2475E9C45E83B41</vt:lpwstr>
  </property>
</Properties>
</file>